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CFDE" w14:textId="73EF51D2" w:rsidR="00637BAE" w:rsidRPr="004B6D2C" w:rsidRDefault="006B68BE" w:rsidP="00DE148D">
      <w:pPr>
        <w:ind w:left="-567" w:right="-621"/>
        <w:rPr>
          <w:rFonts w:ascii="Arial" w:hAnsi="Arial" w:cs="Arial"/>
          <w:b/>
          <w:bCs/>
          <w:szCs w:val="24"/>
        </w:rPr>
      </w:pPr>
      <w:r w:rsidRPr="004B6D2C">
        <w:rPr>
          <w:rFonts w:ascii="Arial" w:hAnsi="Arial" w:cs="Arial"/>
          <w:b/>
          <w:bCs/>
          <w:szCs w:val="24"/>
        </w:rPr>
        <w:t>Advanced Decisions</w:t>
      </w:r>
      <w:r w:rsidR="00843CDE" w:rsidRPr="004B6D2C">
        <w:rPr>
          <w:rFonts w:ascii="Arial" w:hAnsi="Arial" w:cs="Arial"/>
          <w:b/>
          <w:bCs/>
          <w:szCs w:val="24"/>
        </w:rPr>
        <w:t xml:space="preserve"> (Directives)</w:t>
      </w:r>
    </w:p>
    <w:p w14:paraId="589BD41C" w14:textId="6D251EFE" w:rsidR="00565EA7" w:rsidRPr="00DE148D" w:rsidRDefault="00565EA7" w:rsidP="00DE148D">
      <w:pPr>
        <w:rPr>
          <w:rFonts w:ascii="Arial" w:hAnsi="Arial" w:cs="Arial"/>
          <w:szCs w:val="24"/>
        </w:rPr>
      </w:pPr>
    </w:p>
    <w:tbl>
      <w:tblPr>
        <w:tblStyle w:val="TableGrid"/>
        <w:tblW w:w="10662" w:type="dxa"/>
        <w:tblInd w:w="-998" w:type="dxa"/>
        <w:tblLayout w:type="fixed"/>
        <w:tblLook w:val="04A0" w:firstRow="1" w:lastRow="0" w:firstColumn="1" w:lastColumn="0" w:noHBand="0" w:noVBand="1"/>
      </w:tblPr>
      <w:tblGrid>
        <w:gridCol w:w="2116"/>
        <w:gridCol w:w="8546"/>
      </w:tblGrid>
      <w:tr w:rsidR="00DE148D" w:rsidRPr="00DE148D" w14:paraId="636AD08F" w14:textId="77777777" w:rsidTr="00843CDE">
        <w:tc>
          <w:tcPr>
            <w:tcW w:w="2116" w:type="dxa"/>
          </w:tcPr>
          <w:p w14:paraId="564D4FEA" w14:textId="77777777" w:rsidR="00565EA7" w:rsidRPr="00DE148D" w:rsidRDefault="00565EA7" w:rsidP="00DE148D">
            <w:pPr>
              <w:rPr>
                <w:rFonts w:ascii="Arial" w:hAnsi="Arial" w:cs="Arial"/>
                <w:szCs w:val="24"/>
              </w:rPr>
            </w:pPr>
            <w:r w:rsidRPr="00DE148D">
              <w:rPr>
                <w:rFonts w:ascii="Arial" w:hAnsi="Arial" w:cs="Arial"/>
                <w:szCs w:val="24"/>
              </w:rPr>
              <w:t>Date Policy was last reviewed:</w:t>
            </w:r>
          </w:p>
        </w:tc>
        <w:tc>
          <w:tcPr>
            <w:tcW w:w="8546" w:type="dxa"/>
          </w:tcPr>
          <w:p w14:paraId="6EFFB90B" w14:textId="327343CB" w:rsidR="00565EA7" w:rsidRPr="00DE148D" w:rsidRDefault="004B6D2C" w:rsidP="00DE148D">
            <w:pPr>
              <w:rPr>
                <w:rFonts w:ascii="Arial" w:hAnsi="Arial" w:cs="Arial"/>
                <w:szCs w:val="24"/>
              </w:rPr>
            </w:pPr>
            <w:r>
              <w:rPr>
                <w:rFonts w:ascii="Arial" w:hAnsi="Arial" w:cs="Arial"/>
              </w:rPr>
              <w:t>24</w:t>
            </w:r>
            <w:r>
              <w:rPr>
                <w:rFonts w:ascii="Arial" w:hAnsi="Arial" w:cs="Arial"/>
                <w:vertAlign w:val="superscript"/>
              </w:rPr>
              <w:t>th</w:t>
            </w:r>
            <w:r>
              <w:rPr>
                <w:rFonts w:ascii="Arial" w:hAnsi="Arial" w:cs="Arial"/>
              </w:rPr>
              <w:t xml:space="preserve"> June 2024</w:t>
            </w:r>
          </w:p>
        </w:tc>
      </w:tr>
      <w:tr w:rsidR="00DE148D" w:rsidRPr="00DE148D" w14:paraId="6B7E48B1" w14:textId="77777777" w:rsidTr="00843CDE">
        <w:tc>
          <w:tcPr>
            <w:tcW w:w="2116" w:type="dxa"/>
          </w:tcPr>
          <w:p w14:paraId="13CFD7A4" w14:textId="77777777" w:rsidR="00565EA7" w:rsidRPr="00DE148D" w:rsidRDefault="00565EA7" w:rsidP="00DE148D">
            <w:pPr>
              <w:rPr>
                <w:rFonts w:ascii="Arial" w:hAnsi="Arial" w:cs="Arial"/>
                <w:szCs w:val="24"/>
              </w:rPr>
            </w:pPr>
            <w:r w:rsidRPr="00DE148D">
              <w:rPr>
                <w:rFonts w:ascii="Arial" w:hAnsi="Arial" w:cs="Arial"/>
                <w:szCs w:val="24"/>
              </w:rPr>
              <w:t>Next Planned Review:</w:t>
            </w:r>
          </w:p>
        </w:tc>
        <w:tc>
          <w:tcPr>
            <w:tcW w:w="8546" w:type="dxa"/>
          </w:tcPr>
          <w:p w14:paraId="27907251" w14:textId="28C29C82" w:rsidR="00565EA7" w:rsidRPr="00DE148D" w:rsidRDefault="00565EA7" w:rsidP="00DE148D">
            <w:pPr>
              <w:rPr>
                <w:rFonts w:ascii="Arial" w:hAnsi="Arial" w:cs="Arial"/>
                <w:szCs w:val="24"/>
              </w:rPr>
            </w:pPr>
            <w:r w:rsidRPr="00DE148D">
              <w:rPr>
                <w:rFonts w:ascii="Arial" w:hAnsi="Arial" w:cs="Arial"/>
                <w:szCs w:val="24"/>
              </w:rPr>
              <w:t>In 12 months or sooner if required</w:t>
            </w:r>
          </w:p>
        </w:tc>
      </w:tr>
      <w:tr w:rsidR="00DE148D" w:rsidRPr="00DE148D" w14:paraId="3BC44CF1" w14:textId="77777777" w:rsidTr="00843CDE">
        <w:tc>
          <w:tcPr>
            <w:tcW w:w="2116" w:type="dxa"/>
          </w:tcPr>
          <w:p w14:paraId="66B7A223" w14:textId="77777777" w:rsidR="00565EA7" w:rsidRPr="00DE148D" w:rsidRDefault="00565EA7" w:rsidP="00DE148D">
            <w:pPr>
              <w:rPr>
                <w:rFonts w:ascii="Arial" w:hAnsi="Arial" w:cs="Arial"/>
                <w:szCs w:val="24"/>
              </w:rPr>
            </w:pPr>
            <w:r w:rsidRPr="00DE148D">
              <w:rPr>
                <w:rFonts w:ascii="Arial" w:hAnsi="Arial" w:cs="Arial"/>
                <w:szCs w:val="24"/>
              </w:rPr>
              <w:t>Reviewed by:</w:t>
            </w:r>
          </w:p>
        </w:tc>
        <w:tc>
          <w:tcPr>
            <w:tcW w:w="8546" w:type="dxa"/>
          </w:tcPr>
          <w:p w14:paraId="2DD41206" w14:textId="6F337352" w:rsidR="00565EA7" w:rsidRPr="00DE148D" w:rsidRDefault="00565EA7" w:rsidP="00DE148D">
            <w:pPr>
              <w:rPr>
                <w:rFonts w:ascii="Arial" w:hAnsi="Arial" w:cs="Arial"/>
                <w:szCs w:val="24"/>
              </w:rPr>
            </w:pPr>
            <w:r w:rsidRPr="00DE148D">
              <w:rPr>
                <w:rFonts w:ascii="Arial" w:hAnsi="Arial" w:cs="Arial"/>
                <w:szCs w:val="24"/>
              </w:rPr>
              <w:t>Kelly Kennedy</w:t>
            </w:r>
          </w:p>
        </w:tc>
      </w:tr>
      <w:tr w:rsidR="00DE148D" w:rsidRPr="00DE148D" w14:paraId="1995CD9C" w14:textId="77777777" w:rsidTr="00843CDE">
        <w:tc>
          <w:tcPr>
            <w:tcW w:w="2116" w:type="dxa"/>
          </w:tcPr>
          <w:p w14:paraId="74C88E71" w14:textId="77777777" w:rsidR="00565EA7" w:rsidRPr="00DE148D" w:rsidRDefault="00565EA7" w:rsidP="00DE148D">
            <w:pPr>
              <w:rPr>
                <w:rFonts w:ascii="Arial" w:hAnsi="Arial" w:cs="Arial"/>
                <w:szCs w:val="24"/>
              </w:rPr>
            </w:pPr>
            <w:r w:rsidRPr="00DE148D">
              <w:rPr>
                <w:rFonts w:ascii="Arial" w:hAnsi="Arial" w:cs="Arial"/>
                <w:szCs w:val="24"/>
              </w:rPr>
              <w:t>Summary:</w:t>
            </w:r>
          </w:p>
        </w:tc>
        <w:tc>
          <w:tcPr>
            <w:tcW w:w="8546" w:type="dxa"/>
          </w:tcPr>
          <w:p w14:paraId="4D0D7D89" w14:textId="6C0E7BE5" w:rsidR="00565EA7" w:rsidRPr="00DE148D" w:rsidRDefault="00843CDE" w:rsidP="00DE148D">
            <w:pPr>
              <w:rPr>
                <w:rFonts w:ascii="Arial" w:hAnsi="Arial" w:cs="Arial"/>
                <w:szCs w:val="24"/>
              </w:rPr>
            </w:pPr>
            <w:r w:rsidRPr="00DE148D">
              <w:rPr>
                <w:rFonts w:ascii="Arial" w:hAnsi="Arial" w:cs="Arial"/>
                <w:w w:val="105"/>
                <w:szCs w:val="24"/>
              </w:rPr>
              <w:t>This policy will support on the use of Advance Decisions. It has been reviewed and content has been clarified and amended but there are no material changes for providers. References also updated to ensure they remain current.</w:t>
            </w:r>
          </w:p>
        </w:tc>
      </w:tr>
      <w:tr w:rsidR="00DE148D" w:rsidRPr="00DE148D" w14:paraId="2EE498C2" w14:textId="77777777" w:rsidTr="00843CDE">
        <w:tc>
          <w:tcPr>
            <w:tcW w:w="2116" w:type="dxa"/>
          </w:tcPr>
          <w:p w14:paraId="22FD8F2C" w14:textId="77777777" w:rsidR="00565EA7" w:rsidRPr="00DE148D" w:rsidRDefault="00565EA7" w:rsidP="00DE148D">
            <w:pPr>
              <w:rPr>
                <w:rFonts w:ascii="Arial" w:hAnsi="Arial" w:cs="Arial"/>
                <w:szCs w:val="24"/>
              </w:rPr>
            </w:pPr>
            <w:r w:rsidRPr="00DE148D">
              <w:rPr>
                <w:rFonts w:ascii="Arial" w:hAnsi="Arial" w:cs="Arial"/>
                <w:szCs w:val="24"/>
              </w:rPr>
              <w:t>Relevant Legislation:</w:t>
            </w:r>
          </w:p>
        </w:tc>
        <w:tc>
          <w:tcPr>
            <w:tcW w:w="8546" w:type="dxa"/>
          </w:tcPr>
          <w:p w14:paraId="000FFCE4" w14:textId="77777777" w:rsidR="00843CDE" w:rsidRPr="00DE148D" w:rsidRDefault="00843CDE" w:rsidP="00DE148D">
            <w:pPr>
              <w:pStyle w:val="TableParagraph"/>
              <w:numPr>
                <w:ilvl w:val="0"/>
                <w:numId w:val="11"/>
              </w:numPr>
              <w:tabs>
                <w:tab w:val="left" w:pos="341"/>
              </w:tabs>
              <w:spacing w:before="34"/>
              <w:ind w:hanging="174"/>
              <w:rPr>
                <w:sz w:val="24"/>
                <w:szCs w:val="24"/>
              </w:rPr>
            </w:pPr>
            <w:bookmarkStart w:id="0" w:name="_Hlk81831203"/>
            <w:r w:rsidRPr="00DE148D">
              <w:rPr>
                <w:w w:val="105"/>
                <w:sz w:val="24"/>
                <w:szCs w:val="24"/>
              </w:rPr>
              <w:t>Human Rights (Jersey) Law 2000</w:t>
            </w:r>
          </w:p>
          <w:p w14:paraId="00655434" w14:textId="77777777" w:rsidR="00843CDE" w:rsidRPr="00DE148D" w:rsidRDefault="00843CDE" w:rsidP="00DE148D">
            <w:pPr>
              <w:pStyle w:val="TableParagraph"/>
              <w:numPr>
                <w:ilvl w:val="0"/>
                <w:numId w:val="11"/>
              </w:numPr>
              <w:tabs>
                <w:tab w:val="left" w:pos="341"/>
              </w:tabs>
              <w:spacing w:before="34"/>
              <w:ind w:hanging="174"/>
              <w:rPr>
                <w:sz w:val="24"/>
                <w:szCs w:val="24"/>
              </w:rPr>
            </w:pPr>
            <w:r w:rsidRPr="00DE148D">
              <w:rPr>
                <w:w w:val="105"/>
                <w:sz w:val="24"/>
                <w:szCs w:val="24"/>
              </w:rPr>
              <w:t>Capacity and Self-Determination (Jersey) Law 2016</w:t>
            </w:r>
          </w:p>
          <w:p w14:paraId="4A5C0A29" w14:textId="77777777" w:rsidR="00843CDE" w:rsidRPr="00DE148D" w:rsidRDefault="00843CDE" w:rsidP="00DE148D">
            <w:pPr>
              <w:pStyle w:val="TableParagraph"/>
              <w:numPr>
                <w:ilvl w:val="0"/>
                <w:numId w:val="11"/>
              </w:numPr>
              <w:tabs>
                <w:tab w:val="left" w:pos="341"/>
              </w:tabs>
              <w:spacing w:before="34"/>
              <w:ind w:right="484" w:hanging="174"/>
              <w:rPr>
                <w:sz w:val="24"/>
                <w:szCs w:val="24"/>
              </w:rPr>
            </w:pPr>
            <w:r w:rsidRPr="00DE148D">
              <w:rPr>
                <w:w w:val="105"/>
                <w:sz w:val="24"/>
                <w:szCs w:val="24"/>
              </w:rPr>
              <w:t>Regulation of Care (Jersey) Law 2014</w:t>
            </w:r>
          </w:p>
          <w:p w14:paraId="47FEA207" w14:textId="77777777" w:rsidR="00843CDE" w:rsidRPr="00DE148D" w:rsidRDefault="00843CDE" w:rsidP="00DE148D">
            <w:pPr>
              <w:pStyle w:val="TableParagraph"/>
              <w:numPr>
                <w:ilvl w:val="0"/>
                <w:numId w:val="11"/>
              </w:numPr>
              <w:tabs>
                <w:tab w:val="left" w:pos="341"/>
              </w:tabs>
              <w:spacing w:before="34"/>
              <w:ind w:right="484" w:hanging="174"/>
              <w:rPr>
                <w:sz w:val="24"/>
                <w:szCs w:val="24"/>
              </w:rPr>
            </w:pPr>
            <w:r w:rsidRPr="00DE148D">
              <w:rPr>
                <w:sz w:val="24"/>
                <w:szCs w:val="24"/>
              </w:rPr>
              <w:t>Regulation of Care (Standards and Requirements) (Jersey) Regulations 2018</w:t>
            </w:r>
            <w:bookmarkEnd w:id="0"/>
          </w:p>
          <w:p w14:paraId="0E9AB0E0" w14:textId="77777777" w:rsidR="00843CDE" w:rsidRPr="00DE148D" w:rsidRDefault="00843CDE" w:rsidP="00DE148D">
            <w:pPr>
              <w:pStyle w:val="TableParagraph"/>
              <w:numPr>
                <w:ilvl w:val="0"/>
                <w:numId w:val="10"/>
              </w:numPr>
              <w:tabs>
                <w:tab w:val="left" w:pos="341"/>
              </w:tabs>
              <w:spacing w:before="111"/>
              <w:rPr>
                <w:sz w:val="24"/>
                <w:szCs w:val="24"/>
              </w:rPr>
            </w:pPr>
            <w:r w:rsidRPr="00DE148D">
              <w:rPr>
                <w:sz w:val="24"/>
                <w:szCs w:val="24"/>
              </w:rPr>
              <w:t xml:space="preserve">Mental Health (Jersey) Law 2016 </w:t>
            </w:r>
          </w:p>
          <w:p w14:paraId="746A58FB" w14:textId="5F803C0B" w:rsidR="00565EA7" w:rsidRPr="00DE148D" w:rsidRDefault="00843CDE" w:rsidP="00DE148D">
            <w:pPr>
              <w:pStyle w:val="ListParagraph"/>
              <w:numPr>
                <w:ilvl w:val="0"/>
                <w:numId w:val="10"/>
              </w:numPr>
              <w:rPr>
                <w:rFonts w:ascii="Arial" w:hAnsi="Arial" w:cs="Arial"/>
                <w:szCs w:val="24"/>
              </w:rPr>
            </w:pPr>
            <w:r w:rsidRPr="00DE148D">
              <w:rPr>
                <w:rFonts w:ascii="Arial" w:hAnsi="Arial" w:cs="Arial"/>
                <w:w w:val="105"/>
                <w:szCs w:val="24"/>
              </w:rPr>
              <w:t>The Care Act</w:t>
            </w:r>
            <w:r w:rsidRPr="00DE148D">
              <w:rPr>
                <w:rFonts w:ascii="Arial" w:hAnsi="Arial" w:cs="Arial"/>
                <w:spacing w:val="7"/>
                <w:w w:val="105"/>
                <w:szCs w:val="24"/>
              </w:rPr>
              <w:t xml:space="preserve"> </w:t>
            </w:r>
            <w:r w:rsidRPr="00DE148D">
              <w:rPr>
                <w:rFonts w:ascii="Arial" w:hAnsi="Arial" w:cs="Arial"/>
                <w:w w:val="105"/>
                <w:szCs w:val="24"/>
              </w:rPr>
              <w:t>2014</w:t>
            </w:r>
          </w:p>
        </w:tc>
      </w:tr>
      <w:tr w:rsidR="00DE148D" w:rsidRPr="00DE148D" w14:paraId="2E5C97A9" w14:textId="77777777" w:rsidTr="00843CDE">
        <w:tc>
          <w:tcPr>
            <w:tcW w:w="2116" w:type="dxa"/>
          </w:tcPr>
          <w:p w14:paraId="12C522D2" w14:textId="77777777" w:rsidR="00565EA7" w:rsidRPr="00DE148D" w:rsidRDefault="00565EA7" w:rsidP="00DE148D">
            <w:pPr>
              <w:rPr>
                <w:rFonts w:ascii="Arial" w:hAnsi="Arial" w:cs="Arial"/>
                <w:szCs w:val="24"/>
              </w:rPr>
            </w:pPr>
            <w:r w:rsidRPr="00DE148D">
              <w:rPr>
                <w:rFonts w:ascii="Arial" w:hAnsi="Arial" w:cs="Arial"/>
                <w:szCs w:val="24"/>
              </w:rPr>
              <w:t>Underpinning knowledge – What have we used to ensure that the policy is current:</w:t>
            </w:r>
          </w:p>
        </w:tc>
        <w:tc>
          <w:tcPr>
            <w:tcW w:w="8546" w:type="dxa"/>
          </w:tcPr>
          <w:p w14:paraId="16D8E087" w14:textId="77777777" w:rsidR="00843CDE" w:rsidRPr="00DE148D" w:rsidRDefault="00843CDE" w:rsidP="00DE148D">
            <w:pPr>
              <w:pStyle w:val="TableParagraph"/>
              <w:numPr>
                <w:ilvl w:val="0"/>
                <w:numId w:val="10"/>
              </w:numPr>
              <w:tabs>
                <w:tab w:val="left" w:pos="341"/>
              </w:tabs>
              <w:spacing w:before="111"/>
              <w:ind w:right="807"/>
              <w:rPr>
                <w:sz w:val="24"/>
                <w:szCs w:val="24"/>
              </w:rPr>
            </w:pPr>
            <w:r w:rsidRPr="00DE148D">
              <w:rPr>
                <w:w w:val="105"/>
                <w:sz w:val="24"/>
                <w:szCs w:val="24"/>
              </w:rPr>
              <w:t xml:space="preserve">Author: Resuscitation Council, (2020), </w:t>
            </w:r>
            <w:proofErr w:type="spellStart"/>
            <w:r w:rsidRPr="00DE148D">
              <w:rPr>
                <w:i/>
                <w:w w:val="105"/>
                <w:sz w:val="24"/>
                <w:szCs w:val="24"/>
              </w:rPr>
              <w:t>ReSPECT</w:t>
            </w:r>
            <w:proofErr w:type="spellEnd"/>
            <w:r w:rsidRPr="00DE148D">
              <w:rPr>
                <w:i/>
                <w:w w:val="105"/>
                <w:sz w:val="24"/>
                <w:szCs w:val="24"/>
              </w:rPr>
              <w:t xml:space="preserve"> for Patients and Carers</w:t>
            </w:r>
            <w:r w:rsidRPr="00DE148D">
              <w:rPr>
                <w:w w:val="105"/>
                <w:sz w:val="24"/>
                <w:szCs w:val="24"/>
              </w:rPr>
              <w:t xml:space="preserve">. [Online] Available from: </w:t>
            </w:r>
            <w:hyperlink r:id="rId8">
              <w:r w:rsidRPr="00DE148D">
                <w:rPr>
                  <w:w w:val="105"/>
                  <w:sz w:val="24"/>
                  <w:szCs w:val="24"/>
                  <w:u w:val="single" w:color="0066CC"/>
                </w:rPr>
                <w:t>https://www.resus.org.uk/respect/patients-and-carers/</w:t>
              </w:r>
              <w:r w:rsidRPr="00DE148D">
                <w:rPr>
                  <w:w w:val="105"/>
                  <w:sz w:val="24"/>
                  <w:szCs w:val="24"/>
                </w:rPr>
                <w:t xml:space="preserve"> </w:t>
              </w:r>
            </w:hyperlink>
            <w:r w:rsidRPr="00DE148D">
              <w:rPr>
                <w:w w:val="105"/>
                <w:sz w:val="24"/>
                <w:szCs w:val="24"/>
              </w:rPr>
              <w:t>[Accessed: 27/5/2021]</w:t>
            </w:r>
          </w:p>
          <w:p w14:paraId="192A5F88" w14:textId="77777777" w:rsidR="00843CDE" w:rsidRPr="00DE148D" w:rsidRDefault="00843CDE" w:rsidP="00DE148D">
            <w:pPr>
              <w:pStyle w:val="TableParagraph"/>
              <w:numPr>
                <w:ilvl w:val="0"/>
                <w:numId w:val="10"/>
              </w:numPr>
              <w:tabs>
                <w:tab w:val="left" w:pos="341"/>
              </w:tabs>
              <w:spacing w:before="2"/>
              <w:ind w:right="498"/>
              <w:rPr>
                <w:sz w:val="24"/>
                <w:szCs w:val="24"/>
              </w:rPr>
            </w:pPr>
            <w:r w:rsidRPr="00DE148D">
              <w:rPr>
                <w:w w:val="105"/>
                <w:sz w:val="24"/>
                <w:szCs w:val="24"/>
              </w:rPr>
              <w:t xml:space="preserve">Author: The National Council for Palliative Care and NHS improving Quality, (2016), </w:t>
            </w:r>
            <w:r w:rsidRPr="00DE148D">
              <w:rPr>
                <w:i/>
                <w:w w:val="105"/>
                <w:sz w:val="24"/>
                <w:szCs w:val="24"/>
              </w:rPr>
              <w:t>Advance Decisions to Refuse Treatment</w:t>
            </w:r>
            <w:r w:rsidRPr="00DE148D">
              <w:rPr>
                <w:w w:val="105"/>
                <w:sz w:val="24"/>
                <w:szCs w:val="24"/>
              </w:rPr>
              <w:t>. [Online] Available from:</w:t>
            </w:r>
            <w:r w:rsidRPr="00DE148D">
              <w:rPr>
                <w:w w:val="105"/>
                <w:sz w:val="24"/>
                <w:szCs w:val="24"/>
                <w:u w:val="single" w:color="0066CC"/>
              </w:rPr>
              <w:t xml:space="preserve"> </w:t>
            </w:r>
            <w:hyperlink r:id="rId9">
              <w:r w:rsidRPr="00DE148D">
                <w:rPr>
                  <w:w w:val="105"/>
                  <w:sz w:val="24"/>
                  <w:szCs w:val="24"/>
                  <w:u w:val="single" w:color="0066CC"/>
                </w:rPr>
                <w:t>https://www.england.nhs.uk/improvement-hub/wp-</w:t>
              </w:r>
            </w:hyperlink>
            <w:hyperlink r:id="rId10">
              <w:r w:rsidRPr="00DE148D">
                <w:rPr>
                  <w:w w:val="105"/>
                  <w:sz w:val="24"/>
                  <w:szCs w:val="24"/>
                  <w:u w:val="single" w:color="0066CC"/>
                </w:rPr>
                <w:t xml:space="preserve"> content/uploads/sites/44/2017/11/Advance-Decisions-to-Refuse-Treatment-Guide.pdf</w:t>
              </w:r>
            </w:hyperlink>
            <w:r w:rsidRPr="00DE148D">
              <w:rPr>
                <w:w w:val="105"/>
                <w:sz w:val="24"/>
                <w:szCs w:val="24"/>
              </w:rPr>
              <w:t xml:space="preserve"> [Accessed:</w:t>
            </w:r>
            <w:r w:rsidRPr="00DE148D">
              <w:rPr>
                <w:spacing w:val="2"/>
                <w:w w:val="105"/>
                <w:sz w:val="24"/>
                <w:szCs w:val="24"/>
              </w:rPr>
              <w:t xml:space="preserve"> </w:t>
            </w:r>
            <w:r w:rsidRPr="00DE148D">
              <w:rPr>
                <w:w w:val="105"/>
                <w:sz w:val="24"/>
                <w:szCs w:val="24"/>
              </w:rPr>
              <w:t>22/7/2021]</w:t>
            </w:r>
          </w:p>
          <w:p w14:paraId="099F98A3" w14:textId="77777777" w:rsidR="00843CDE" w:rsidRPr="00DE148D" w:rsidRDefault="00843CDE" w:rsidP="00DE148D">
            <w:pPr>
              <w:pStyle w:val="TableParagraph"/>
              <w:numPr>
                <w:ilvl w:val="0"/>
                <w:numId w:val="10"/>
              </w:numPr>
              <w:tabs>
                <w:tab w:val="left" w:pos="341"/>
              </w:tabs>
              <w:spacing w:before="5"/>
              <w:ind w:right="353"/>
              <w:rPr>
                <w:sz w:val="24"/>
                <w:szCs w:val="24"/>
              </w:rPr>
            </w:pPr>
            <w:r w:rsidRPr="00DE148D">
              <w:rPr>
                <w:w w:val="105"/>
                <w:sz w:val="24"/>
                <w:szCs w:val="24"/>
              </w:rPr>
              <w:t xml:space="preserve">Author: UK Government, (2008), </w:t>
            </w:r>
            <w:r w:rsidRPr="00DE148D">
              <w:rPr>
                <w:i/>
                <w:w w:val="105"/>
                <w:sz w:val="24"/>
                <w:szCs w:val="24"/>
              </w:rPr>
              <w:t>Mental Capacity 2005 Act Code of Practice Chapter 9</w:t>
            </w:r>
            <w:r w:rsidRPr="00DE148D">
              <w:rPr>
                <w:w w:val="105"/>
                <w:sz w:val="24"/>
                <w:szCs w:val="24"/>
              </w:rPr>
              <w:t>. [Online] Available from:</w:t>
            </w:r>
            <w:r w:rsidRPr="00DE148D">
              <w:rPr>
                <w:w w:val="105"/>
                <w:sz w:val="24"/>
                <w:szCs w:val="24"/>
                <w:u w:val="single" w:color="0066CC"/>
              </w:rPr>
              <w:t xml:space="preserve"> </w:t>
            </w:r>
            <w:hyperlink r:id="rId11">
              <w:r w:rsidRPr="00DE148D">
                <w:rPr>
                  <w:w w:val="105"/>
                  <w:sz w:val="24"/>
                  <w:szCs w:val="24"/>
                  <w:u w:val="single" w:color="0066CC"/>
                </w:rPr>
                <w:t>https://www.legislation.gov.uk/ukpga/2005/9/pdfs/ukpgacop_20050009_en.pdf</w:t>
              </w:r>
            </w:hyperlink>
            <w:r w:rsidRPr="00DE148D">
              <w:rPr>
                <w:w w:val="105"/>
                <w:sz w:val="24"/>
                <w:szCs w:val="24"/>
              </w:rPr>
              <w:t xml:space="preserve"> [Accessed:</w:t>
            </w:r>
            <w:r w:rsidRPr="00DE148D">
              <w:rPr>
                <w:spacing w:val="2"/>
                <w:w w:val="105"/>
                <w:sz w:val="24"/>
                <w:szCs w:val="24"/>
              </w:rPr>
              <w:t xml:space="preserve"> </w:t>
            </w:r>
            <w:r w:rsidRPr="00DE148D">
              <w:rPr>
                <w:w w:val="105"/>
                <w:sz w:val="24"/>
                <w:szCs w:val="24"/>
              </w:rPr>
              <w:t>27/5/2021]</w:t>
            </w:r>
          </w:p>
          <w:p w14:paraId="4AAF497B" w14:textId="77777777" w:rsidR="00843CDE" w:rsidRPr="00DE148D" w:rsidRDefault="00843CDE" w:rsidP="00DE148D">
            <w:pPr>
              <w:pStyle w:val="TableParagraph"/>
              <w:numPr>
                <w:ilvl w:val="0"/>
                <w:numId w:val="10"/>
              </w:numPr>
              <w:tabs>
                <w:tab w:val="left" w:pos="341"/>
              </w:tabs>
              <w:spacing w:before="4"/>
              <w:ind w:right="994"/>
              <w:rPr>
                <w:sz w:val="24"/>
                <w:szCs w:val="24"/>
              </w:rPr>
            </w:pPr>
            <w:r w:rsidRPr="00DE148D">
              <w:rPr>
                <w:w w:val="105"/>
                <w:sz w:val="24"/>
                <w:szCs w:val="24"/>
              </w:rPr>
              <w:t xml:space="preserve">Author: UK Government, (2015), </w:t>
            </w:r>
            <w:r w:rsidRPr="00DE148D">
              <w:rPr>
                <w:i/>
                <w:w w:val="105"/>
                <w:sz w:val="24"/>
                <w:szCs w:val="24"/>
              </w:rPr>
              <w:t>Mental Health Act 1983 (as amended) Code of Practice</w:t>
            </w:r>
            <w:r w:rsidRPr="00DE148D">
              <w:rPr>
                <w:w w:val="105"/>
                <w:sz w:val="24"/>
                <w:szCs w:val="24"/>
              </w:rPr>
              <w:t>. [Online] Available</w:t>
            </w:r>
            <w:r w:rsidRPr="00DE148D">
              <w:rPr>
                <w:spacing w:val="3"/>
                <w:w w:val="105"/>
                <w:sz w:val="24"/>
                <w:szCs w:val="24"/>
              </w:rPr>
              <w:t xml:space="preserve"> </w:t>
            </w:r>
            <w:r w:rsidRPr="00DE148D">
              <w:rPr>
                <w:w w:val="105"/>
                <w:sz w:val="24"/>
                <w:szCs w:val="24"/>
              </w:rPr>
              <w:t>from:</w:t>
            </w:r>
          </w:p>
          <w:p w14:paraId="2FD58BAF" w14:textId="41A2CA3A" w:rsidR="00565EA7" w:rsidRPr="00DE148D" w:rsidRDefault="004B6D2C" w:rsidP="00DE148D">
            <w:pPr>
              <w:pStyle w:val="TableParagraph"/>
              <w:tabs>
                <w:tab w:val="left" w:pos="341"/>
              </w:tabs>
              <w:spacing w:before="3"/>
              <w:ind w:right="619"/>
              <w:rPr>
                <w:sz w:val="24"/>
                <w:szCs w:val="24"/>
              </w:rPr>
            </w:pPr>
            <w:hyperlink r:id="rId12">
              <w:r w:rsidR="00843CDE" w:rsidRPr="00DE148D">
                <w:rPr>
                  <w:w w:val="105"/>
                  <w:sz w:val="24"/>
                  <w:szCs w:val="24"/>
                  <w:u w:val="single" w:color="0066CC"/>
                </w:rPr>
                <w:t>https://assets.publishing.service.gov.uk/government/uploads/system/uploads/attachment_da</w:t>
              </w:r>
            </w:hyperlink>
            <w:r w:rsidR="00843CDE" w:rsidRPr="00DE148D">
              <w:rPr>
                <w:w w:val="105"/>
                <w:sz w:val="24"/>
                <w:szCs w:val="24"/>
              </w:rPr>
              <w:t xml:space="preserve"> [Accessed:</w:t>
            </w:r>
            <w:r w:rsidR="00843CDE" w:rsidRPr="00DE148D">
              <w:rPr>
                <w:spacing w:val="2"/>
                <w:w w:val="105"/>
                <w:sz w:val="24"/>
                <w:szCs w:val="24"/>
              </w:rPr>
              <w:t xml:space="preserve"> </w:t>
            </w:r>
            <w:r w:rsidR="00843CDE" w:rsidRPr="00DE148D">
              <w:rPr>
                <w:w w:val="105"/>
                <w:sz w:val="24"/>
                <w:szCs w:val="24"/>
              </w:rPr>
              <w:t>27/5/2021]</w:t>
            </w:r>
          </w:p>
        </w:tc>
      </w:tr>
      <w:tr w:rsidR="00DE148D" w:rsidRPr="00DE148D" w14:paraId="1C9AD5DE" w14:textId="77777777" w:rsidTr="00843CDE">
        <w:tc>
          <w:tcPr>
            <w:tcW w:w="2116" w:type="dxa"/>
          </w:tcPr>
          <w:p w14:paraId="3132F521" w14:textId="77777777" w:rsidR="00565EA7" w:rsidRPr="00DE148D" w:rsidRDefault="00565EA7" w:rsidP="00DE148D">
            <w:pPr>
              <w:rPr>
                <w:rFonts w:ascii="Arial" w:hAnsi="Arial" w:cs="Arial"/>
                <w:szCs w:val="24"/>
              </w:rPr>
            </w:pPr>
            <w:r w:rsidRPr="00DE148D">
              <w:rPr>
                <w:rFonts w:ascii="Arial" w:hAnsi="Arial" w:cs="Arial"/>
                <w:szCs w:val="24"/>
              </w:rPr>
              <w:t>Suggested action:</w:t>
            </w:r>
          </w:p>
        </w:tc>
        <w:tc>
          <w:tcPr>
            <w:tcW w:w="8546" w:type="dxa"/>
          </w:tcPr>
          <w:p w14:paraId="0AF2B873" w14:textId="6D4CC556" w:rsidR="00565EA7" w:rsidRPr="00DE148D" w:rsidRDefault="00843CDE" w:rsidP="00DE148D">
            <w:pPr>
              <w:rPr>
                <w:rFonts w:ascii="Arial" w:hAnsi="Arial" w:cs="Arial"/>
                <w:szCs w:val="24"/>
              </w:rPr>
            </w:pPr>
            <w:r w:rsidRPr="00DE148D">
              <w:rPr>
                <w:rFonts w:ascii="Arial" w:hAnsi="Arial" w:cs="Arial"/>
                <w:w w:val="105"/>
                <w:szCs w:val="24"/>
              </w:rPr>
              <w:t>Encourage sharing the policy through Policy Folder</w:t>
            </w:r>
          </w:p>
        </w:tc>
      </w:tr>
    </w:tbl>
    <w:p w14:paraId="4422FAE6" w14:textId="0ACD41F7" w:rsidR="00565EA7" w:rsidRPr="00DE148D" w:rsidRDefault="00565EA7" w:rsidP="00DE148D">
      <w:pPr>
        <w:rPr>
          <w:rFonts w:ascii="Arial" w:hAnsi="Arial" w:cs="Arial"/>
          <w:szCs w:val="24"/>
        </w:rPr>
      </w:pPr>
    </w:p>
    <w:p w14:paraId="666C28ED" w14:textId="015A9DB4" w:rsidR="00123341" w:rsidRPr="00DE148D" w:rsidRDefault="00123341" w:rsidP="00DE148D">
      <w:pPr>
        <w:pStyle w:val="ListParagraph"/>
        <w:numPr>
          <w:ilvl w:val="0"/>
          <w:numId w:val="3"/>
        </w:numPr>
        <w:rPr>
          <w:rFonts w:ascii="Arial" w:hAnsi="Arial" w:cs="Arial"/>
          <w:szCs w:val="24"/>
        </w:rPr>
      </w:pPr>
      <w:r w:rsidRPr="00DE148D">
        <w:rPr>
          <w:rFonts w:ascii="Arial" w:hAnsi="Arial" w:cs="Arial"/>
          <w:b/>
          <w:szCs w:val="24"/>
        </w:rPr>
        <w:lastRenderedPageBreak/>
        <w:t>Purpose</w:t>
      </w:r>
    </w:p>
    <w:p w14:paraId="7BC7D5AE" w14:textId="7BD909EB"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To guide staff, Care receivers and their families or advocates on the use of Advance Decisions within St Ewolds Care</w:t>
      </w:r>
      <w:r w:rsidRPr="00DE148D">
        <w:rPr>
          <w:rFonts w:ascii="Arial" w:hAnsi="Arial" w:cs="Arial"/>
          <w:spacing w:val="-7"/>
          <w:w w:val="105"/>
          <w:szCs w:val="24"/>
        </w:rPr>
        <w:t xml:space="preserve"> </w:t>
      </w:r>
      <w:r w:rsidRPr="00DE148D">
        <w:rPr>
          <w:rFonts w:ascii="Arial" w:hAnsi="Arial" w:cs="Arial"/>
          <w:w w:val="105"/>
          <w:szCs w:val="24"/>
        </w:rPr>
        <w:t>Home.</w:t>
      </w:r>
    </w:p>
    <w:p w14:paraId="753DAED0" w14:textId="6C0C24F5"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This policy should be read in conjunction with the Advance Care Planning Policy and</w:t>
      </w:r>
      <w:r w:rsidRPr="00DE148D">
        <w:rPr>
          <w:rFonts w:ascii="Arial" w:hAnsi="Arial" w:cs="Arial"/>
          <w:spacing w:val="23"/>
          <w:w w:val="105"/>
          <w:szCs w:val="24"/>
        </w:rPr>
        <w:t xml:space="preserve"> </w:t>
      </w:r>
      <w:r w:rsidRPr="00DE148D">
        <w:rPr>
          <w:rFonts w:ascii="Arial" w:hAnsi="Arial" w:cs="Arial"/>
          <w:w w:val="105"/>
          <w:szCs w:val="24"/>
        </w:rPr>
        <w:t>Procedure.</w:t>
      </w:r>
    </w:p>
    <w:p w14:paraId="28F2C73D" w14:textId="77777777" w:rsidR="00DE148D" w:rsidRPr="00DE148D" w:rsidRDefault="00DE148D" w:rsidP="00DE148D">
      <w:pPr>
        <w:pStyle w:val="ListParagraph"/>
        <w:ind w:left="792"/>
        <w:rPr>
          <w:rFonts w:ascii="Arial" w:hAnsi="Arial" w:cs="Arial"/>
          <w:szCs w:val="24"/>
        </w:rPr>
      </w:pPr>
    </w:p>
    <w:p w14:paraId="0B3BAAED" w14:textId="297691B4" w:rsidR="00123341" w:rsidRPr="00DE148D" w:rsidRDefault="00123341" w:rsidP="00DE148D">
      <w:pPr>
        <w:pStyle w:val="ListParagraph"/>
        <w:numPr>
          <w:ilvl w:val="0"/>
          <w:numId w:val="3"/>
        </w:numPr>
        <w:rPr>
          <w:rFonts w:ascii="Arial" w:hAnsi="Arial" w:cs="Arial"/>
          <w:szCs w:val="24"/>
        </w:rPr>
      </w:pPr>
      <w:r w:rsidRPr="00DE148D">
        <w:rPr>
          <w:rFonts w:ascii="Arial" w:hAnsi="Arial" w:cs="Arial"/>
          <w:b/>
          <w:szCs w:val="24"/>
        </w:rPr>
        <w:t>Scope</w:t>
      </w:r>
    </w:p>
    <w:p w14:paraId="1583FB10" w14:textId="4583B2F9" w:rsidR="00123341" w:rsidRPr="00DE148D" w:rsidRDefault="00843CDE" w:rsidP="00DE148D">
      <w:pPr>
        <w:pStyle w:val="ListParagraph"/>
        <w:numPr>
          <w:ilvl w:val="1"/>
          <w:numId w:val="3"/>
        </w:numPr>
        <w:rPr>
          <w:rFonts w:ascii="Arial" w:hAnsi="Arial" w:cs="Arial"/>
          <w:szCs w:val="24"/>
        </w:rPr>
      </w:pPr>
      <w:r w:rsidRPr="00DE148D">
        <w:rPr>
          <w:rFonts w:ascii="Arial" w:hAnsi="Arial" w:cs="Arial"/>
          <w:szCs w:val="24"/>
        </w:rPr>
        <w:t>All staff may be affected by this policy/</w:t>
      </w:r>
    </w:p>
    <w:p w14:paraId="6875E41B" w14:textId="5D8973DD" w:rsidR="00843CDE" w:rsidRPr="00DE148D" w:rsidRDefault="00843CDE" w:rsidP="00DE148D">
      <w:pPr>
        <w:pStyle w:val="ListParagraph"/>
        <w:numPr>
          <w:ilvl w:val="1"/>
          <w:numId w:val="3"/>
        </w:numPr>
        <w:rPr>
          <w:rFonts w:ascii="Arial" w:hAnsi="Arial" w:cs="Arial"/>
          <w:szCs w:val="24"/>
        </w:rPr>
      </w:pPr>
      <w:r w:rsidRPr="00DE148D">
        <w:rPr>
          <w:rFonts w:ascii="Arial" w:hAnsi="Arial" w:cs="Arial"/>
          <w:szCs w:val="24"/>
        </w:rPr>
        <w:t>All care receivers may be affected by this policy.</w:t>
      </w:r>
    </w:p>
    <w:p w14:paraId="5C63BB49" w14:textId="54EC87AB"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The following stakeholders may be affected by this</w:t>
      </w:r>
      <w:r w:rsidRPr="00DE148D">
        <w:rPr>
          <w:rFonts w:ascii="Arial" w:hAnsi="Arial" w:cs="Arial"/>
          <w:spacing w:val="12"/>
          <w:w w:val="105"/>
          <w:szCs w:val="24"/>
        </w:rPr>
        <w:t xml:space="preserve"> </w:t>
      </w:r>
      <w:r w:rsidRPr="00DE148D">
        <w:rPr>
          <w:rFonts w:ascii="Arial" w:hAnsi="Arial" w:cs="Arial"/>
          <w:w w:val="105"/>
          <w:szCs w:val="24"/>
        </w:rPr>
        <w:t>policy:</w:t>
      </w:r>
    </w:p>
    <w:p w14:paraId="7914B5D5" w14:textId="77777777" w:rsidR="00843CDE" w:rsidRPr="00DE148D" w:rsidRDefault="00843CDE" w:rsidP="00DE148D">
      <w:pPr>
        <w:pStyle w:val="ListParagraph"/>
        <w:widowControl w:val="0"/>
        <w:numPr>
          <w:ilvl w:val="2"/>
          <w:numId w:val="13"/>
        </w:numPr>
        <w:tabs>
          <w:tab w:val="left" w:pos="993"/>
        </w:tabs>
        <w:autoSpaceDE w:val="0"/>
        <w:autoSpaceDN w:val="0"/>
        <w:spacing w:before="61" w:after="0"/>
        <w:contextualSpacing w:val="0"/>
        <w:rPr>
          <w:rFonts w:ascii="Arial" w:hAnsi="Arial" w:cs="Arial"/>
          <w:szCs w:val="24"/>
        </w:rPr>
      </w:pPr>
      <w:r w:rsidRPr="00DE148D">
        <w:rPr>
          <w:rFonts w:ascii="Arial" w:hAnsi="Arial" w:cs="Arial"/>
          <w:w w:val="105"/>
          <w:szCs w:val="24"/>
        </w:rPr>
        <w:t>External health</w:t>
      </w:r>
      <w:r w:rsidRPr="00DE148D">
        <w:rPr>
          <w:rFonts w:ascii="Arial" w:hAnsi="Arial" w:cs="Arial"/>
          <w:spacing w:val="3"/>
          <w:w w:val="105"/>
          <w:szCs w:val="24"/>
        </w:rPr>
        <w:t xml:space="preserve"> </w:t>
      </w:r>
      <w:r w:rsidRPr="00DE148D">
        <w:rPr>
          <w:rFonts w:ascii="Arial" w:hAnsi="Arial" w:cs="Arial"/>
          <w:w w:val="105"/>
          <w:szCs w:val="24"/>
        </w:rPr>
        <w:t>professionals</w:t>
      </w:r>
    </w:p>
    <w:p w14:paraId="2A90B62C" w14:textId="77777777" w:rsidR="00843CDE" w:rsidRPr="00DE148D" w:rsidRDefault="00843CDE" w:rsidP="00DE148D">
      <w:pPr>
        <w:pStyle w:val="ListParagraph"/>
        <w:widowControl w:val="0"/>
        <w:numPr>
          <w:ilvl w:val="2"/>
          <w:numId w:val="13"/>
        </w:numPr>
        <w:tabs>
          <w:tab w:val="left" w:pos="993"/>
        </w:tabs>
        <w:autoSpaceDE w:val="0"/>
        <w:autoSpaceDN w:val="0"/>
        <w:spacing w:before="60" w:after="0"/>
        <w:contextualSpacing w:val="0"/>
        <w:rPr>
          <w:rFonts w:ascii="Arial" w:hAnsi="Arial" w:cs="Arial"/>
          <w:szCs w:val="24"/>
        </w:rPr>
      </w:pPr>
      <w:r w:rsidRPr="00DE148D">
        <w:rPr>
          <w:rFonts w:ascii="Arial" w:hAnsi="Arial" w:cs="Arial"/>
          <w:w w:val="105"/>
          <w:szCs w:val="24"/>
        </w:rPr>
        <w:t>Health and Community Services</w:t>
      </w:r>
    </w:p>
    <w:p w14:paraId="5EFD57D5" w14:textId="04D228EF" w:rsidR="00843CDE" w:rsidRPr="00DE148D" w:rsidRDefault="00843CDE" w:rsidP="00DE148D">
      <w:pPr>
        <w:pStyle w:val="ListParagraph"/>
        <w:widowControl w:val="0"/>
        <w:numPr>
          <w:ilvl w:val="2"/>
          <w:numId w:val="13"/>
        </w:numPr>
        <w:tabs>
          <w:tab w:val="left" w:pos="993"/>
        </w:tabs>
        <w:autoSpaceDE w:val="0"/>
        <w:autoSpaceDN w:val="0"/>
        <w:spacing w:before="128" w:after="0"/>
        <w:contextualSpacing w:val="0"/>
        <w:rPr>
          <w:rFonts w:ascii="Arial" w:hAnsi="Arial" w:cs="Arial"/>
          <w:szCs w:val="24"/>
        </w:rPr>
      </w:pPr>
      <w:r w:rsidRPr="00DE148D">
        <w:rPr>
          <w:rFonts w:ascii="Arial" w:hAnsi="Arial" w:cs="Arial"/>
          <w:w w:val="105"/>
          <w:szCs w:val="24"/>
        </w:rPr>
        <w:t>Family, friends or representatives of Care</w:t>
      </w:r>
      <w:r w:rsidRPr="00DE148D">
        <w:rPr>
          <w:rFonts w:ascii="Arial" w:hAnsi="Arial" w:cs="Arial"/>
          <w:spacing w:val="15"/>
          <w:w w:val="105"/>
          <w:szCs w:val="24"/>
        </w:rPr>
        <w:t xml:space="preserve"> </w:t>
      </w:r>
      <w:r w:rsidRPr="00DE148D">
        <w:rPr>
          <w:rFonts w:ascii="Arial" w:hAnsi="Arial" w:cs="Arial"/>
          <w:w w:val="105"/>
          <w:szCs w:val="24"/>
        </w:rPr>
        <w:t>receivers</w:t>
      </w:r>
    </w:p>
    <w:p w14:paraId="0D790E07" w14:textId="77777777" w:rsidR="00DE148D" w:rsidRPr="00DE148D" w:rsidRDefault="00DE148D" w:rsidP="00DE148D">
      <w:pPr>
        <w:pStyle w:val="ListParagraph"/>
        <w:widowControl w:val="0"/>
        <w:tabs>
          <w:tab w:val="left" w:pos="993"/>
        </w:tabs>
        <w:autoSpaceDE w:val="0"/>
        <w:autoSpaceDN w:val="0"/>
        <w:spacing w:before="128" w:after="0"/>
        <w:ind w:left="1224"/>
        <w:contextualSpacing w:val="0"/>
        <w:rPr>
          <w:rFonts w:ascii="Arial" w:hAnsi="Arial" w:cs="Arial"/>
          <w:szCs w:val="24"/>
        </w:rPr>
      </w:pPr>
    </w:p>
    <w:p w14:paraId="2E4A1729" w14:textId="436CF51F" w:rsidR="00123341" w:rsidRPr="00DE148D" w:rsidRDefault="00123341" w:rsidP="00DE148D">
      <w:pPr>
        <w:pStyle w:val="ListParagraph"/>
        <w:numPr>
          <w:ilvl w:val="0"/>
          <w:numId w:val="3"/>
        </w:numPr>
        <w:rPr>
          <w:rFonts w:ascii="Arial" w:hAnsi="Arial" w:cs="Arial"/>
          <w:szCs w:val="24"/>
        </w:rPr>
      </w:pPr>
      <w:r w:rsidRPr="00DE148D">
        <w:rPr>
          <w:rFonts w:ascii="Arial" w:hAnsi="Arial" w:cs="Arial"/>
          <w:b/>
          <w:szCs w:val="24"/>
        </w:rPr>
        <w:t>Objectives</w:t>
      </w:r>
    </w:p>
    <w:p w14:paraId="3120B45F" w14:textId="3728C239"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Care receivers take ownership and control over how they would like to be treated should they lose capacity to make their own decisions about care or treatment in the</w:t>
      </w:r>
      <w:r w:rsidRPr="00DE148D">
        <w:rPr>
          <w:rFonts w:ascii="Arial" w:hAnsi="Arial" w:cs="Arial"/>
          <w:spacing w:val="19"/>
          <w:w w:val="105"/>
          <w:szCs w:val="24"/>
        </w:rPr>
        <w:t xml:space="preserve"> </w:t>
      </w:r>
      <w:r w:rsidRPr="00DE148D">
        <w:rPr>
          <w:rFonts w:ascii="Arial" w:hAnsi="Arial" w:cs="Arial"/>
          <w:w w:val="105"/>
          <w:szCs w:val="24"/>
        </w:rPr>
        <w:t>future.</w:t>
      </w:r>
    </w:p>
    <w:p w14:paraId="165C28A3" w14:textId="781BD4AB"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An Advance Decision makes a Care receiver's decisions in advance to refuse specific medical treatments legally binding, even when this puts their life at risk. Staff are clear that anyone over the age of 16 years can influence how they are cared for if they should lose capacity in the future.</w:t>
      </w:r>
    </w:p>
    <w:p w14:paraId="5EBA91D1" w14:textId="77777777" w:rsidR="00DE148D" w:rsidRPr="00DE148D" w:rsidRDefault="00DE148D" w:rsidP="00DE148D">
      <w:pPr>
        <w:pStyle w:val="ListParagraph"/>
        <w:ind w:left="792"/>
        <w:rPr>
          <w:rFonts w:ascii="Arial" w:hAnsi="Arial" w:cs="Arial"/>
          <w:szCs w:val="24"/>
        </w:rPr>
      </w:pPr>
    </w:p>
    <w:p w14:paraId="050FB6B9" w14:textId="0BEF6826" w:rsidR="00123341" w:rsidRPr="00DE148D" w:rsidRDefault="00123341" w:rsidP="00DE148D">
      <w:pPr>
        <w:pStyle w:val="ListParagraph"/>
        <w:numPr>
          <w:ilvl w:val="0"/>
          <w:numId w:val="3"/>
        </w:numPr>
        <w:rPr>
          <w:rFonts w:ascii="Arial" w:hAnsi="Arial" w:cs="Arial"/>
          <w:szCs w:val="24"/>
        </w:rPr>
      </w:pPr>
      <w:r w:rsidRPr="00DE148D">
        <w:rPr>
          <w:rFonts w:ascii="Arial" w:hAnsi="Arial" w:cs="Arial"/>
          <w:b/>
          <w:szCs w:val="24"/>
        </w:rPr>
        <w:t>Policy</w:t>
      </w:r>
      <w:r w:rsidR="00D744F6" w:rsidRPr="00DE148D">
        <w:rPr>
          <w:rFonts w:ascii="Arial" w:hAnsi="Arial" w:cs="Arial"/>
          <w:szCs w:val="24"/>
        </w:rPr>
        <w:t xml:space="preserve"> </w:t>
      </w:r>
    </w:p>
    <w:p w14:paraId="774DA52B" w14:textId="20356BEE" w:rsidR="00843CDE" w:rsidRPr="00DE148D" w:rsidRDefault="00843CDE" w:rsidP="00DE148D">
      <w:pPr>
        <w:pStyle w:val="ListParagraph"/>
        <w:numPr>
          <w:ilvl w:val="1"/>
          <w:numId w:val="3"/>
        </w:numPr>
        <w:rPr>
          <w:rFonts w:ascii="Arial" w:hAnsi="Arial" w:cs="Arial"/>
          <w:szCs w:val="24"/>
        </w:rPr>
      </w:pPr>
      <w:r w:rsidRPr="00DE148D">
        <w:rPr>
          <w:rFonts w:ascii="Arial" w:hAnsi="Arial" w:cs="Arial"/>
          <w:w w:val="105"/>
          <w:szCs w:val="24"/>
        </w:rPr>
        <w:t>Staff are trained and competent in the use of Advance Decisions, and their role in implementing them within St Ewolds Care</w:t>
      </w:r>
      <w:r w:rsidRPr="00DE148D">
        <w:rPr>
          <w:rFonts w:ascii="Arial" w:hAnsi="Arial" w:cs="Arial"/>
          <w:spacing w:val="-13"/>
          <w:w w:val="105"/>
          <w:szCs w:val="24"/>
        </w:rPr>
        <w:t xml:space="preserve"> </w:t>
      </w:r>
      <w:r w:rsidRPr="00DE148D">
        <w:rPr>
          <w:rFonts w:ascii="Arial" w:hAnsi="Arial" w:cs="Arial"/>
          <w:w w:val="105"/>
          <w:szCs w:val="24"/>
        </w:rPr>
        <w:t>Home.</w:t>
      </w:r>
    </w:p>
    <w:p w14:paraId="733A20CD" w14:textId="0D615E8C" w:rsidR="00FA0CA2" w:rsidRPr="00DE148D" w:rsidRDefault="00FA0CA2" w:rsidP="00DE148D">
      <w:pPr>
        <w:pStyle w:val="ListParagraph"/>
        <w:numPr>
          <w:ilvl w:val="1"/>
          <w:numId w:val="3"/>
        </w:numPr>
        <w:rPr>
          <w:rFonts w:ascii="Arial" w:hAnsi="Arial" w:cs="Arial"/>
          <w:szCs w:val="24"/>
        </w:rPr>
      </w:pPr>
      <w:r w:rsidRPr="00DE148D">
        <w:rPr>
          <w:rFonts w:ascii="Arial" w:hAnsi="Arial" w:cs="Arial"/>
          <w:w w:val="105"/>
          <w:szCs w:val="24"/>
        </w:rPr>
        <w:t>Staff recognise that the content of an Advance Decision reflects the views and wishes of the Care receiver and should not be influenced by any other person. Where concerns are identified (for example, if it appears that the Care receiver is subject to coercion or undue influence) these concerns will be raised immediately and due notifications made to both the Government of Jersey safeguarding team and Jersey Care Commission.</w:t>
      </w:r>
    </w:p>
    <w:p w14:paraId="6DDA79BE" w14:textId="507FA58F" w:rsidR="00FA0CA2" w:rsidRPr="00DE148D" w:rsidRDefault="00FA0CA2" w:rsidP="00DE148D">
      <w:pPr>
        <w:pStyle w:val="ListParagraph"/>
        <w:numPr>
          <w:ilvl w:val="1"/>
          <w:numId w:val="3"/>
        </w:numPr>
        <w:rPr>
          <w:rFonts w:ascii="Arial" w:hAnsi="Arial" w:cs="Arial"/>
          <w:szCs w:val="24"/>
        </w:rPr>
      </w:pPr>
      <w:r w:rsidRPr="00DE148D">
        <w:rPr>
          <w:rFonts w:ascii="Arial" w:hAnsi="Arial" w:cs="Arial"/>
          <w:w w:val="105"/>
          <w:szCs w:val="24"/>
        </w:rPr>
        <w:t>Staff understand that any person with mental capacity can refuse any suggested treatment, for any reason, or without giving any explanation. They also recognise that any Care receiver with capacity can make an Advance Decision to refuse treatment (ADRT, often shortened to 'Advance Decision' or AD) and to refuse specific medical treatments in the future, if they should lack capacity at that time to consent or refuse these</w:t>
      </w:r>
      <w:r w:rsidRPr="00DE148D">
        <w:rPr>
          <w:rFonts w:ascii="Arial" w:hAnsi="Arial" w:cs="Arial"/>
          <w:spacing w:val="5"/>
          <w:w w:val="105"/>
          <w:szCs w:val="24"/>
        </w:rPr>
        <w:t xml:space="preserve"> </w:t>
      </w:r>
      <w:r w:rsidRPr="00DE148D">
        <w:rPr>
          <w:rFonts w:ascii="Arial" w:hAnsi="Arial" w:cs="Arial"/>
          <w:w w:val="105"/>
          <w:szCs w:val="24"/>
        </w:rPr>
        <w:t>treatments.</w:t>
      </w:r>
    </w:p>
    <w:p w14:paraId="7257A3B7" w14:textId="2387F1BE" w:rsidR="00FA0CA2" w:rsidRPr="00DE148D" w:rsidRDefault="00FA0CA2" w:rsidP="00DE148D">
      <w:pPr>
        <w:pStyle w:val="ListParagraph"/>
        <w:numPr>
          <w:ilvl w:val="1"/>
          <w:numId w:val="3"/>
        </w:numPr>
        <w:rPr>
          <w:rFonts w:ascii="Arial" w:hAnsi="Arial" w:cs="Arial"/>
          <w:szCs w:val="24"/>
        </w:rPr>
      </w:pPr>
      <w:r w:rsidRPr="00DE148D">
        <w:rPr>
          <w:rFonts w:ascii="Arial" w:hAnsi="Arial" w:cs="Arial"/>
          <w:w w:val="105"/>
          <w:szCs w:val="24"/>
        </w:rPr>
        <w:t>Staff know that, for minor treatments, an Advance Decision does not have to be in any set format, or even in writing. They also know that when an Advance Decision is being used to refuse</w:t>
      </w:r>
      <w:r w:rsidRPr="00DE148D">
        <w:rPr>
          <w:rFonts w:ascii="Arial" w:hAnsi="Arial" w:cs="Arial"/>
          <w:spacing w:val="25"/>
          <w:w w:val="105"/>
          <w:szCs w:val="24"/>
        </w:rPr>
        <w:t xml:space="preserve"> </w:t>
      </w:r>
      <w:r w:rsidRPr="00DE148D">
        <w:rPr>
          <w:rFonts w:ascii="Arial" w:hAnsi="Arial" w:cs="Arial"/>
          <w:w w:val="105"/>
          <w:szCs w:val="24"/>
        </w:rPr>
        <w:t xml:space="preserve">(in advance) specific treatments intended to preserve life, the Advance Decision will only </w:t>
      </w:r>
      <w:r w:rsidRPr="00DE148D">
        <w:rPr>
          <w:rFonts w:ascii="Arial" w:hAnsi="Arial" w:cs="Arial"/>
          <w:w w:val="105"/>
          <w:szCs w:val="24"/>
        </w:rPr>
        <w:lastRenderedPageBreak/>
        <w:t>apply if the person lacks capacity to consent to or refuse this treatment at the time it needs to be made, and that it must:</w:t>
      </w:r>
    </w:p>
    <w:p w14:paraId="2730A51C" w14:textId="77777777" w:rsidR="00FA0CA2" w:rsidRPr="00DE148D" w:rsidRDefault="00FA0CA2" w:rsidP="00DE148D">
      <w:pPr>
        <w:pStyle w:val="ListParagraph"/>
        <w:widowControl w:val="0"/>
        <w:numPr>
          <w:ilvl w:val="2"/>
          <w:numId w:val="15"/>
        </w:numPr>
        <w:tabs>
          <w:tab w:val="left" w:pos="1192"/>
        </w:tabs>
        <w:autoSpaceDE w:val="0"/>
        <w:autoSpaceDN w:val="0"/>
        <w:spacing w:before="56" w:after="0"/>
        <w:rPr>
          <w:rFonts w:ascii="Arial" w:hAnsi="Arial" w:cs="Arial"/>
          <w:szCs w:val="24"/>
        </w:rPr>
      </w:pPr>
      <w:r w:rsidRPr="00DE148D">
        <w:rPr>
          <w:rFonts w:ascii="Arial" w:hAnsi="Arial" w:cs="Arial"/>
          <w:w w:val="105"/>
          <w:szCs w:val="24"/>
        </w:rPr>
        <w:t>Be in writing (there are no forms, and can be just as the person wants to write</w:t>
      </w:r>
      <w:r w:rsidRPr="00DE148D">
        <w:rPr>
          <w:rFonts w:ascii="Arial" w:hAnsi="Arial" w:cs="Arial"/>
          <w:spacing w:val="26"/>
          <w:w w:val="105"/>
          <w:szCs w:val="24"/>
        </w:rPr>
        <w:t xml:space="preserve"> </w:t>
      </w:r>
      <w:r w:rsidRPr="00DE148D">
        <w:rPr>
          <w:rFonts w:ascii="Arial" w:hAnsi="Arial" w:cs="Arial"/>
          <w:w w:val="105"/>
          <w:szCs w:val="24"/>
        </w:rPr>
        <w:t>it)</w:t>
      </w:r>
    </w:p>
    <w:p w14:paraId="103ADFF1" w14:textId="77777777" w:rsidR="00FA0CA2" w:rsidRPr="00DE148D" w:rsidRDefault="00FA0CA2" w:rsidP="00DE148D">
      <w:pPr>
        <w:pStyle w:val="ListParagraph"/>
        <w:widowControl w:val="0"/>
        <w:numPr>
          <w:ilvl w:val="2"/>
          <w:numId w:val="15"/>
        </w:numPr>
        <w:tabs>
          <w:tab w:val="left" w:pos="1192"/>
        </w:tabs>
        <w:autoSpaceDE w:val="0"/>
        <w:autoSpaceDN w:val="0"/>
        <w:spacing w:before="101" w:after="0"/>
        <w:ind w:right="1235"/>
        <w:rPr>
          <w:rFonts w:ascii="Arial" w:hAnsi="Arial" w:cs="Arial"/>
          <w:szCs w:val="24"/>
        </w:rPr>
      </w:pPr>
      <w:r w:rsidRPr="00DE148D">
        <w:rPr>
          <w:rFonts w:ascii="Arial" w:hAnsi="Arial" w:cs="Arial"/>
          <w:w w:val="105"/>
          <w:szCs w:val="24"/>
        </w:rPr>
        <w:t>Be signed and dated by the person and also by a witness (this is to ensure the person is not being coerced)</w:t>
      </w:r>
    </w:p>
    <w:p w14:paraId="3DADDFF1" w14:textId="77777777" w:rsidR="00FA0CA2" w:rsidRPr="00DE148D" w:rsidRDefault="00FA0CA2" w:rsidP="00DE148D">
      <w:pPr>
        <w:pStyle w:val="ListParagraph"/>
        <w:widowControl w:val="0"/>
        <w:numPr>
          <w:ilvl w:val="2"/>
          <w:numId w:val="15"/>
        </w:numPr>
        <w:tabs>
          <w:tab w:val="left" w:pos="1192"/>
        </w:tabs>
        <w:autoSpaceDE w:val="0"/>
        <w:autoSpaceDN w:val="0"/>
        <w:spacing w:before="53" w:after="0"/>
        <w:ind w:right="1021"/>
        <w:rPr>
          <w:rFonts w:ascii="Arial" w:hAnsi="Arial" w:cs="Arial"/>
          <w:szCs w:val="24"/>
        </w:rPr>
      </w:pPr>
      <w:r w:rsidRPr="00DE148D">
        <w:rPr>
          <w:rFonts w:ascii="Arial" w:hAnsi="Arial" w:cs="Arial"/>
          <w:w w:val="105"/>
          <w:szCs w:val="24"/>
        </w:rPr>
        <w:t>Contain a statement that the person understands that this may put their life at risk, and they wish it to apply anyway</w:t>
      </w:r>
    </w:p>
    <w:p w14:paraId="7A60E605" w14:textId="2AA4647A" w:rsidR="00FA0CA2" w:rsidRPr="00DE148D" w:rsidRDefault="00FA0CA2" w:rsidP="00DE148D">
      <w:pPr>
        <w:pStyle w:val="ListParagraph"/>
        <w:numPr>
          <w:ilvl w:val="1"/>
          <w:numId w:val="3"/>
        </w:numPr>
        <w:rPr>
          <w:rFonts w:ascii="Arial" w:hAnsi="Arial" w:cs="Arial"/>
          <w:szCs w:val="24"/>
        </w:rPr>
      </w:pPr>
      <w:r w:rsidRPr="00DE148D">
        <w:rPr>
          <w:rFonts w:ascii="Arial" w:hAnsi="Arial" w:cs="Arial"/>
          <w:w w:val="105"/>
          <w:szCs w:val="24"/>
        </w:rPr>
        <w:t>Staff recognise that nobody has to make an Advance Decision, and that if a person has not chosen to do this and later lacks capacity to consent to or refuse treatment, the decision must be made within the Capacity and Self-Determination (Jersey) Law 2016 best interests</w:t>
      </w:r>
      <w:r w:rsidRPr="00DE148D">
        <w:rPr>
          <w:rFonts w:ascii="Arial" w:hAnsi="Arial" w:cs="Arial"/>
          <w:spacing w:val="7"/>
          <w:w w:val="105"/>
          <w:szCs w:val="24"/>
        </w:rPr>
        <w:t xml:space="preserve"> </w:t>
      </w:r>
      <w:r w:rsidRPr="00DE148D">
        <w:rPr>
          <w:rFonts w:ascii="Arial" w:hAnsi="Arial" w:cs="Arial"/>
          <w:w w:val="105"/>
          <w:szCs w:val="24"/>
        </w:rPr>
        <w:t>process.</w:t>
      </w:r>
    </w:p>
    <w:p w14:paraId="23AE7E5E" w14:textId="563FE339" w:rsidR="00FA0CA2" w:rsidRPr="007C6EB1" w:rsidRDefault="00FA0CA2" w:rsidP="00DE148D">
      <w:pPr>
        <w:pStyle w:val="ListParagraph"/>
        <w:numPr>
          <w:ilvl w:val="1"/>
          <w:numId w:val="3"/>
        </w:numPr>
        <w:rPr>
          <w:rFonts w:ascii="Arial" w:hAnsi="Arial" w:cs="Arial"/>
          <w:szCs w:val="24"/>
        </w:rPr>
      </w:pPr>
      <w:r w:rsidRPr="00DE148D">
        <w:rPr>
          <w:rFonts w:ascii="Arial" w:hAnsi="Arial" w:cs="Arial"/>
          <w:w w:val="105"/>
          <w:szCs w:val="24"/>
        </w:rPr>
        <w:t>Staff understand that the importance of Advance Statements of wishes are crucial to enable person- centred care, that are to be encouraged in all circumstances, and that they are used to create truly individual Care Plans for each Care</w:t>
      </w:r>
      <w:r w:rsidRPr="00DE148D">
        <w:rPr>
          <w:rFonts w:ascii="Arial" w:hAnsi="Arial" w:cs="Arial"/>
          <w:spacing w:val="15"/>
          <w:w w:val="105"/>
          <w:szCs w:val="24"/>
        </w:rPr>
        <w:t xml:space="preserve"> </w:t>
      </w:r>
      <w:r w:rsidRPr="00DE148D">
        <w:rPr>
          <w:rFonts w:ascii="Arial" w:hAnsi="Arial" w:cs="Arial"/>
          <w:w w:val="105"/>
          <w:szCs w:val="24"/>
        </w:rPr>
        <w:t>receiver.</w:t>
      </w:r>
    </w:p>
    <w:p w14:paraId="6BFCEB94" w14:textId="77777777" w:rsidR="007C6EB1" w:rsidRPr="00DE148D" w:rsidRDefault="007C6EB1" w:rsidP="007C6EB1">
      <w:pPr>
        <w:pStyle w:val="ListParagraph"/>
        <w:ind w:left="792"/>
        <w:rPr>
          <w:rFonts w:ascii="Arial" w:hAnsi="Arial" w:cs="Arial"/>
          <w:szCs w:val="24"/>
        </w:rPr>
      </w:pPr>
    </w:p>
    <w:p w14:paraId="62EE6254" w14:textId="0745B792" w:rsidR="00D744F6" w:rsidRPr="00DE148D" w:rsidRDefault="00D744F6" w:rsidP="00DE148D">
      <w:pPr>
        <w:pStyle w:val="ListParagraph"/>
        <w:numPr>
          <w:ilvl w:val="0"/>
          <w:numId w:val="3"/>
        </w:numPr>
        <w:rPr>
          <w:rFonts w:ascii="Arial" w:hAnsi="Arial" w:cs="Arial"/>
          <w:b/>
          <w:szCs w:val="24"/>
        </w:rPr>
      </w:pPr>
      <w:r w:rsidRPr="00DE148D">
        <w:rPr>
          <w:rFonts w:ascii="Arial" w:hAnsi="Arial" w:cs="Arial"/>
          <w:b/>
          <w:szCs w:val="24"/>
        </w:rPr>
        <w:t>Procedure</w:t>
      </w:r>
    </w:p>
    <w:p w14:paraId="4BFD729F" w14:textId="3CD44B1E" w:rsidR="00FA0CA2" w:rsidRPr="00DE148D" w:rsidRDefault="00FA0CA2" w:rsidP="00DE148D">
      <w:pPr>
        <w:pStyle w:val="ListParagraph"/>
        <w:numPr>
          <w:ilvl w:val="1"/>
          <w:numId w:val="3"/>
        </w:numPr>
        <w:rPr>
          <w:rFonts w:ascii="Arial" w:hAnsi="Arial" w:cs="Arial"/>
          <w:szCs w:val="24"/>
        </w:rPr>
      </w:pPr>
      <w:r w:rsidRPr="00DE148D">
        <w:rPr>
          <w:rFonts w:ascii="Arial" w:hAnsi="Arial" w:cs="Arial"/>
          <w:spacing w:val="3"/>
          <w:w w:val="105"/>
          <w:szCs w:val="24"/>
        </w:rPr>
        <w:t xml:space="preserve">Pre-Assessment </w:t>
      </w:r>
      <w:r w:rsidRPr="00DE148D">
        <w:rPr>
          <w:rFonts w:ascii="Arial" w:hAnsi="Arial" w:cs="Arial"/>
          <w:spacing w:val="2"/>
          <w:w w:val="105"/>
          <w:szCs w:val="24"/>
        </w:rPr>
        <w:t xml:space="preserve">of </w:t>
      </w:r>
      <w:r w:rsidRPr="00DE148D">
        <w:rPr>
          <w:rFonts w:ascii="Arial" w:hAnsi="Arial" w:cs="Arial"/>
          <w:spacing w:val="3"/>
          <w:w w:val="105"/>
          <w:szCs w:val="24"/>
        </w:rPr>
        <w:t xml:space="preserve">care </w:t>
      </w:r>
      <w:r w:rsidRPr="00DE148D">
        <w:rPr>
          <w:rFonts w:ascii="Arial" w:hAnsi="Arial" w:cs="Arial"/>
          <w:spacing w:val="4"/>
          <w:w w:val="105"/>
          <w:szCs w:val="24"/>
        </w:rPr>
        <w:t xml:space="preserve">Advance Decisions, Wishes </w:t>
      </w:r>
      <w:r w:rsidRPr="00DE148D">
        <w:rPr>
          <w:rFonts w:ascii="Arial" w:hAnsi="Arial" w:cs="Arial"/>
          <w:spacing w:val="3"/>
          <w:w w:val="105"/>
          <w:szCs w:val="24"/>
        </w:rPr>
        <w:t>and</w:t>
      </w:r>
      <w:r w:rsidRPr="00DE148D">
        <w:rPr>
          <w:rFonts w:ascii="Arial" w:hAnsi="Arial" w:cs="Arial"/>
          <w:spacing w:val="31"/>
          <w:w w:val="105"/>
          <w:szCs w:val="24"/>
        </w:rPr>
        <w:t xml:space="preserve"> </w:t>
      </w:r>
      <w:r w:rsidRPr="00DE148D">
        <w:rPr>
          <w:rFonts w:ascii="Arial" w:hAnsi="Arial" w:cs="Arial"/>
          <w:spacing w:val="5"/>
          <w:w w:val="105"/>
          <w:szCs w:val="24"/>
        </w:rPr>
        <w:t>Preferences</w:t>
      </w:r>
    </w:p>
    <w:p w14:paraId="55231F64" w14:textId="77777777" w:rsidR="00FA0CA2" w:rsidRPr="00DE148D" w:rsidRDefault="00FA0CA2" w:rsidP="00DE148D">
      <w:pPr>
        <w:pStyle w:val="BodyText"/>
        <w:spacing w:before="34"/>
        <w:ind w:left="851" w:right="891"/>
        <w:rPr>
          <w:sz w:val="24"/>
          <w:szCs w:val="24"/>
        </w:rPr>
      </w:pPr>
      <w:r w:rsidRPr="00DE148D">
        <w:rPr>
          <w:w w:val="105"/>
          <w:sz w:val="24"/>
          <w:szCs w:val="24"/>
        </w:rPr>
        <w:t>During pre-assessment, it will be established from the Care receiver if they have an Advance Decision in place. Where the content is unclear, this will be discussed and clarified with the Care receiver.</w:t>
      </w:r>
    </w:p>
    <w:p w14:paraId="3F78332B" w14:textId="77777777" w:rsidR="00FA0CA2" w:rsidRPr="00DE148D" w:rsidRDefault="00FA0CA2" w:rsidP="00DE148D">
      <w:pPr>
        <w:pStyle w:val="BodyText"/>
        <w:spacing w:before="1"/>
        <w:ind w:left="851"/>
        <w:rPr>
          <w:sz w:val="24"/>
          <w:szCs w:val="24"/>
        </w:rPr>
      </w:pPr>
    </w:p>
    <w:p w14:paraId="014FCB6C" w14:textId="77777777" w:rsidR="00FA0CA2" w:rsidRPr="00DE148D" w:rsidRDefault="00FA0CA2" w:rsidP="00DE148D">
      <w:pPr>
        <w:pStyle w:val="BodyText"/>
        <w:spacing w:before="0"/>
        <w:ind w:left="851" w:right="1647"/>
        <w:rPr>
          <w:sz w:val="24"/>
          <w:szCs w:val="24"/>
        </w:rPr>
      </w:pPr>
      <w:r w:rsidRPr="00DE148D">
        <w:rPr>
          <w:w w:val="105"/>
          <w:sz w:val="24"/>
          <w:szCs w:val="24"/>
        </w:rPr>
        <w:t>The pre-assessment may also be the opportunity for the Care receiver to consider implementing an Advance Decision for the first time, and assessing staff must have the ability to signpost to the appropriate support available and advise the Care receiver on the process.</w:t>
      </w:r>
    </w:p>
    <w:p w14:paraId="6D3B96B1" w14:textId="77777777" w:rsidR="00FA0CA2" w:rsidRPr="00DE148D" w:rsidRDefault="00FA0CA2" w:rsidP="00DE148D">
      <w:pPr>
        <w:pStyle w:val="BodyText"/>
        <w:spacing w:before="3"/>
        <w:ind w:left="851" w:right="891"/>
        <w:rPr>
          <w:w w:val="105"/>
          <w:sz w:val="24"/>
          <w:szCs w:val="24"/>
        </w:rPr>
      </w:pPr>
      <w:r w:rsidRPr="00DE148D">
        <w:rPr>
          <w:w w:val="105"/>
          <w:sz w:val="24"/>
          <w:szCs w:val="24"/>
        </w:rPr>
        <w:t>During pre-assessment and all future reviews of care, staff must encourage the Care receiver to express their Advance Statements of wishes, to enable their care to be tailored as far as possible to their personality.</w:t>
      </w:r>
    </w:p>
    <w:p w14:paraId="221107CE" w14:textId="77777777" w:rsidR="00FA0CA2" w:rsidRPr="00DE148D" w:rsidRDefault="00FA0CA2" w:rsidP="00DE148D">
      <w:pPr>
        <w:pStyle w:val="BodyText"/>
        <w:spacing w:before="3"/>
        <w:ind w:left="851" w:right="891"/>
        <w:rPr>
          <w:sz w:val="24"/>
          <w:szCs w:val="24"/>
        </w:rPr>
      </w:pPr>
    </w:p>
    <w:p w14:paraId="02652076" w14:textId="77777777" w:rsidR="00FA0CA2" w:rsidRPr="00DE148D" w:rsidRDefault="00FA0CA2" w:rsidP="00DE148D">
      <w:pPr>
        <w:pStyle w:val="BodyText"/>
        <w:spacing w:before="3"/>
        <w:ind w:left="851" w:right="891"/>
        <w:rPr>
          <w:sz w:val="24"/>
          <w:szCs w:val="24"/>
        </w:rPr>
      </w:pPr>
      <w:r w:rsidRPr="00DE148D">
        <w:rPr>
          <w:w w:val="105"/>
          <w:sz w:val="24"/>
          <w:szCs w:val="24"/>
        </w:rPr>
        <w:t>The member of staff who completed the pre-assessment is responsible for ensuring that other staff are informed of the Advance Statements or Advance Decisions in place through the care plan</w:t>
      </w:r>
    </w:p>
    <w:p w14:paraId="7C9B124D" w14:textId="77777777" w:rsidR="00FA0CA2" w:rsidRPr="00DE148D" w:rsidRDefault="00FA0CA2" w:rsidP="00DE148D">
      <w:pPr>
        <w:pStyle w:val="BodyText"/>
        <w:spacing w:before="2"/>
        <w:ind w:left="851" w:right="891"/>
        <w:rPr>
          <w:sz w:val="24"/>
          <w:szCs w:val="24"/>
        </w:rPr>
      </w:pPr>
      <w:r w:rsidRPr="00DE148D">
        <w:rPr>
          <w:w w:val="105"/>
          <w:sz w:val="24"/>
          <w:szCs w:val="24"/>
        </w:rPr>
        <w:t>The Care Plan must clearly detail that an Advance Statement or Decision is in place, and all staff must be clear on the contents of the Statement/Decision.</w:t>
      </w:r>
    </w:p>
    <w:p w14:paraId="641A0018" w14:textId="77777777" w:rsidR="00FA0CA2" w:rsidRPr="00DE148D" w:rsidRDefault="00FA0CA2" w:rsidP="00DE148D">
      <w:pPr>
        <w:pStyle w:val="BodyText"/>
        <w:spacing w:before="2"/>
        <w:ind w:left="851" w:right="891"/>
        <w:rPr>
          <w:sz w:val="24"/>
          <w:szCs w:val="24"/>
        </w:rPr>
      </w:pPr>
      <w:r w:rsidRPr="00DE148D">
        <w:rPr>
          <w:w w:val="105"/>
          <w:sz w:val="24"/>
          <w:szCs w:val="24"/>
        </w:rPr>
        <w:t>In particular, staff must be competent and confident to inform visiting professionals or attorneys under lasting powers of attorney (LPA), Court Appointed Delegates or Independent Capacity Advocates of Advance Decisions, and what treatments are refused.</w:t>
      </w:r>
    </w:p>
    <w:p w14:paraId="53229C41" w14:textId="76B9E62F" w:rsidR="00FA0CA2" w:rsidRPr="00DE148D" w:rsidRDefault="00FA0CA2" w:rsidP="00DE148D">
      <w:pPr>
        <w:pStyle w:val="ListParagraph"/>
        <w:numPr>
          <w:ilvl w:val="1"/>
          <w:numId w:val="3"/>
        </w:numPr>
        <w:rPr>
          <w:rFonts w:ascii="Arial" w:hAnsi="Arial" w:cs="Arial"/>
          <w:szCs w:val="24"/>
        </w:rPr>
      </w:pPr>
      <w:r w:rsidRPr="00DE148D">
        <w:rPr>
          <w:rFonts w:ascii="Arial" w:hAnsi="Arial" w:cs="Arial"/>
          <w:spacing w:val="4"/>
          <w:w w:val="105"/>
          <w:szCs w:val="24"/>
        </w:rPr>
        <w:lastRenderedPageBreak/>
        <w:t>Advance Decision</w:t>
      </w:r>
      <w:r w:rsidRPr="00DE148D">
        <w:rPr>
          <w:rFonts w:ascii="Arial" w:hAnsi="Arial" w:cs="Arial"/>
          <w:spacing w:val="15"/>
          <w:w w:val="105"/>
          <w:szCs w:val="24"/>
        </w:rPr>
        <w:t xml:space="preserve"> </w:t>
      </w:r>
      <w:r w:rsidRPr="00DE148D">
        <w:rPr>
          <w:rFonts w:ascii="Arial" w:hAnsi="Arial" w:cs="Arial"/>
          <w:spacing w:val="5"/>
          <w:w w:val="105"/>
          <w:szCs w:val="24"/>
        </w:rPr>
        <w:t>Review</w:t>
      </w:r>
    </w:p>
    <w:p w14:paraId="71D14F5E" w14:textId="77777777" w:rsidR="00FA0CA2" w:rsidRPr="00DE148D" w:rsidRDefault="00FA0CA2" w:rsidP="00DE148D">
      <w:pPr>
        <w:pStyle w:val="BodyText"/>
        <w:spacing w:before="34"/>
        <w:ind w:left="851" w:right="1647"/>
        <w:rPr>
          <w:sz w:val="24"/>
          <w:szCs w:val="24"/>
        </w:rPr>
      </w:pPr>
      <w:r w:rsidRPr="00DE148D">
        <w:rPr>
          <w:w w:val="105"/>
          <w:sz w:val="24"/>
          <w:szCs w:val="24"/>
        </w:rPr>
        <w:t>At any time, the Care receiver may wish to produce a Statement or Decision for the first time, or review, amend or withdraw an existing Advance Decision or Statement.</w:t>
      </w:r>
    </w:p>
    <w:p w14:paraId="05DEAD42" w14:textId="77777777" w:rsidR="00FA0CA2" w:rsidRPr="00DE148D" w:rsidRDefault="00FA0CA2" w:rsidP="00DE148D">
      <w:pPr>
        <w:pStyle w:val="BodyText"/>
        <w:spacing w:before="2"/>
        <w:ind w:left="851" w:right="872"/>
        <w:rPr>
          <w:sz w:val="24"/>
          <w:szCs w:val="24"/>
        </w:rPr>
      </w:pPr>
      <w:r w:rsidRPr="00DE148D">
        <w:rPr>
          <w:w w:val="105"/>
          <w:sz w:val="24"/>
          <w:szCs w:val="24"/>
        </w:rPr>
        <w:t>Staff must be aware that Advance Statements can be reviewed at any time and the Statement amended accordingly. Advance Decisions can be reviewed at any time. However, if the Advance Decision refuses life sustaining treatment, it must:</w:t>
      </w:r>
    </w:p>
    <w:p w14:paraId="4AA963DD" w14:textId="77777777" w:rsidR="00FA0CA2" w:rsidRPr="00DE148D" w:rsidRDefault="00FA0CA2" w:rsidP="00DE148D">
      <w:pPr>
        <w:pStyle w:val="ListParagraph"/>
        <w:widowControl w:val="0"/>
        <w:numPr>
          <w:ilvl w:val="2"/>
          <w:numId w:val="14"/>
        </w:numPr>
        <w:tabs>
          <w:tab w:val="left" w:pos="1192"/>
        </w:tabs>
        <w:autoSpaceDE w:val="0"/>
        <w:autoSpaceDN w:val="0"/>
        <w:spacing w:before="57" w:after="0"/>
        <w:ind w:left="1134" w:hanging="214"/>
        <w:contextualSpacing w:val="0"/>
        <w:rPr>
          <w:rFonts w:ascii="Arial" w:hAnsi="Arial" w:cs="Arial"/>
          <w:szCs w:val="24"/>
        </w:rPr>
      </w:pPr>
      <w:r w:rsidRPr="00DE148D">
        <w:rPr>
          <w:rFonts w:ascii="Arial" w:hAnsi="Arial" w:cs="Arial"/>
          <w:w w:val="105"/>
          <w:szCs w:val="24"/>
        </w:rPr>
        <w:t>Be in writing (it can be written by someone else or recorded in care</w:t>
      </w:r>
      <w:r w:rsidRPr="00DE148D">
        <w:rPr>
          <w:rFonts w:ascii="Arial" w:hAnsi="Arial" w:cs="Arial"/>
          <w:spacing w:val="21"/>
          <w:w w:val="105"/>
          <w:szCs w:val="24"/>
        </w:rPr>
        <w:t xml:space="preserve"> </w:t>
      </w:r>
      <w:r w:rsidRPr="00DE148D">
        <w:rPr>
          <w:rFonts w:ascii="Arial" w:hAnsi="Arial" w:cs="Arial"/>
          <w:w w:val="105"/>
          <w:szCs w:val="24"/>
        </w:rPr>
        <w:t>records)</w:t>
      </w:r>
    </w:p>
    <w:p w14:paraId="5F68F98A" w14:textId="77777777" w:rsidR="00FA0CA2" w:rsidRPr="00DE148D" w:rsidRDefault="00FA0CA2" w:rsidP="00DE148D">
      <w:pPr>
        <w:pStyle w:val="ListParagraph"/>
        <w:widowControl w:val="0"/>
        <w:numPr>
          <w:ilvl w:val="2"/>
          <w:numId w:val="14"/>
        </w:numPr>
        <w:tabs>
          <w:tab w:val="left" w:pos="1192"/>
        </w:tabs>
        <w:autoSpaceDE w:val="0"/>
        <w:autoSpaceDN w:val="0"/>
        <w:spacing w:before="101" w:after="0"/>
        <w:ind w:left="1134" w:hanging="214"/>
        <w:contextualSpacing w:val="0"/>
        <w:rPr>
          <w:rFonts w:ascii="Arial" w:hAnsi="Arial" w:cs="Arial"/>
          <w:szCs w:val="24"/>
        </w:rPr>
      </w:pPr>
      <w:r w:rsidRPr="00DE148D">
        <w:rPr>
          <w:rFonts w:ascii="Arial" w:hAnsi="Arial" w:cs="Arial"/>
          <w:w w:val="105"/>
          <w:szCs w:val="24"/>
        </w:rPr>
        <w:t>Be signed and witnessed, and state clearly that the decision applies even if life is at</w:t>
      </w:r>
      <w:r w:rsidRPr="00DE148D">
        <w:rPr>
          <w:rFonts w:ascii="Arial" w:hAnsi="Arial" w:cs="Arial"/>
          <w:spacing w:val="26"/>
          <w:w w:val="105"/>
          <w:szCs w:val="24"/>
        </w:rPr>
        <w:t xml:space="preserve"> </w:t>
      </w:r>
      <w:r w:rsidRPr="00DE148D">
        <w:rPr>
          <w:rFonts w:ascii="Arial" w:hAnsi="Arial" w:cs="Arial"/>
          <w:w w:val="105"/>
          <w:szCs w:val="24"/>
        </w:rPr>
        <w:t>risk</w:t>
      </w:r>
    </w:p>
    <w:p w14:paraId="5939FE52" w14:textId="77777777" w:rsidR="00FA0CA2" w:rsidRPr="00DE148D" w:rsidRDefault="00FA0CA2" w:rsidP="00DE148D">
      <w:pPr>
        <w:pStyle w:val="ListParagraph"/>
        <w:widowControl w:val="0"/>
        <w:numPr>
          <w:ilvl w:val="2"/>
          <w:numId w:val="14"/>
        </w:numPr>
        <w:tabs>
          <w:tab w:val="left" w:pos="1192"/>
        </w:tabs>
        <w:autoSpaceDE w:val="0"/>
        <w:autoSpaceDN w:val="0"/>
        <w:spacing w:before="101" w:after="0"/>
        <w:ind w:left="1134" w:right="860" w:hanging="214"/>
        <w:contextualSpacing w:val="0"/>
        <w:rPr>
          <w:rFonts w:ascii="Arial" w:hAnsi="Arial" w:cs="Arial"/>
          <w:szCs w:val="24"/>
        </w:rPr>
      </w:pPr>
      <w:r w:rsidRPr="00DE148D">
        <w:rPr>
          <w:rFonts w:ascii="Arial" w:hAnsi="Arial" w:cs="Arial"/>
          <w:w w:val="105"/>
          <w:szCs w:val="24"/>
        </w:rPr>
        <w:t>If a Care receiver wishes to withdraw their Advance Decision, they should destroy their copy and inform their GP and everyone else who has a copy or knows of its existence that it is no longer</w:t>
      </w:r>
      <w:r w:rsidRPr="00DE148D">
        <w:rPr>
          <w:rFonts w:ascii="Arial" w:hAnsi="Arial" w:cs="Arial"/>
          <w:spacing w:val="29"/>
          <w:w w:val="105"/>
          <w:szCs w:val="24"/>
        </w:rPr>
        <w:t xml:space="preserve"> </w:t>
      </w:r>
      <w:r w:rsidRPr="00DE148D">
        <w:rPr>
          <w:rFonts w:ascii="Arial" w:hAnsi="Arial" w:cs="Arial"/>
          <w:w w:val="105"/>
          <w:szCs w:val="24"/>
        </w:rPr>
        <w:t>valid</w:t>
      </w:r>
    </w:p>
    <w:p w14:paraId="20DE6BCE" w14:textId="77777777" w:rsidR="00FA0CA2" w:rsidRPr="00DE148D" w:rsidRDefault="00FA0CA2" w:rsidP="00DE148D">
      <w:pPr>
        <w:pStyle w:val="BodyText"/>
        <w:spacing w:before="26"/>
        <w:ind w:left="851" w:right="891"/>
        <w:rPr>
          <w:sz w:val="24"/>
          <w:szCs w:val="24"/>
        </w:rPr>
      </w:pPr>
      <w:r w:rsidRPr="00DE148D">
        <w:rPr>
          <w:w w:val="105"/>
          <w:sz w:val="24"/>
          <w:szCs w:val="24"/>
        </w:rPr>
        <w:t>Staff are not able to be involved in the drafting of, or witnessing to, any part of the Advance Decision. However, staff should be available to signpost to appropriate sources.</w:t>
      </w:r>
    </w:p>
    <w:p w14:paraId="2B0F6AF4" w14:textId="160A6EE0" w:rsidR="00FA0CA2" w:rsidRPr="00DE148D" w:rsidRDefault="00FA0CA2" w:rsidP="00DE148D">
      <w:pPr>
        <w:pStyle w:val="ListParagraph"/>
        <w:numPr>
          <w:ilvl w:val="1"/>
          <w:numId w:val="3"/>
        </w:numPr>
        <w:rPr>
          <w:rFonts w:ascii="Arial" w:hAnsi="Arial" w:cs="Arial"/>
          <w:szCs w:val="24"/>
        </w:rPr>
      </w:pPr>
      <w:r w:rsidRPr="00DE148D">
        <w:rPr>
          <w:rFonts w:ascii="Arial" w:hAnsi="Arial" w:cs="Arial"/>
          <w:spacing w:val="4"/>
          <w:w w:val="105"/>
          <w:szCs w:val="24"/>
        </w:rPr>
        <w:t>Capacity and Self-Determination</w:t>
      </w:r>
    </w:p>
    <w:p w14:paraId="0986E42B" w14:textId="77777777" w:rsidR="00FA0CA2" w:rsidRPr="00DE148D" w:rsidRDefault="00FA0CA2" w:rsidP="00DE148D">
      <w:pPr>
        <w:pStyle w:val="BodyText"/>
        <w:spacing w:before="34"/>
        <w:ind w:left="851" w:right="891"/>
        <w:rPr>
          <w:sz w:val="24"/>
          <w:szCs w:val="24"/>
        </w:rPr>
      </w:pPr>
      <w:r w:rsidRPr="00DE148D">
        <w:rPr>
          <w:w w:val="105"/>
          <w:sz w:val="24"/>
          <w:szCs w:val="24"/>
        </w:rPr>
        <w:t>To make an Advance Decision, the Care receiver must have the capacity at the time. If there is any doubt regarding the Care receiver's capacity and a wish to have a Decision, staff must refer to the Capacity and Self-Determination Policy and Procedure at St Ewolds Care Home.</w:t>
      </w:r>
    </w:p>
    <w:p w14:paraId="7F14C8D3" w14:textId="5CC91EE4" w:rsidR="00FA0CA2" w:rsidRPr="00DE148D" w:rsidRDefault="00FA0CA2" w:rsidP="00DE148D">
      <w:pPr>
        <w:pStyle w:val="ListParagraph"/>
        <w:numPr>
          <w:ilvl w:val="1"/>
          <w:numId w:val="3"/>
        </w:numPr>
        <w:rPr>
          <w:rFonts w:ascii="Arial" w:hAnsi="Arial" w:cs="Arial"/>
          <w:szCs w:val="24"/>
        </w:rPr>
      </w:pPr>
      <w:r w:rsidRPr="00DE148D">
        <w:rPr>
          <w:rFonts w:ascii="Arial" w:hAnsi="Arial" w:cs="Arial"/>
          <w:spacing w:val="3"/>
          <w:w w:val="105"/>
          <w:szCs w:val="24"/>
        </w:rPr>
        <w:t>Advance Statement</w:t>
      </w:r>
      <w:r w:rsidRPr="00DE148D">
        <w:rPr>
          <w:rFonts w:ascii="Arial" w:hAnsi="Arial" w:cs="Arial"/>
          <w:spacing w:val="7"/>
          <w:w w:val="105"/>
          <w:szCs w:val="24"/>
        </w:rPr>
        <w:t xml:space="preserve"> </w:t>
      </w:r>
      <w:r w:rsidRPr="00DE148D">
        <w:rPr>
          <w:rFonts w:ascii="Arial" w:hAnsi="Arial" w:cs="Arial"/>
          <w:spacing w:val="4"/>
          <w:w w:val="105"/>
          <w:szCs w:val="24"/>
        </w:rPr>
        <w:t>Considerations</w:t>
      </w:r>
    </w:p>
    <w:p w14:paraId="5B693CE3" w14:textId="77777777" w:rsidR="00FA0CA2" w:rsidRPr="00DE148D" w:rsidRDefault="00FA0CA2" w:rsidP="00DE148D">
      <w:pPr>
        <w:pStyle w:val="BodyText"/>
        <w:spacing w:before="34"/>
        <w:ind w:left="851" w:right="796"/>
        <w:rPr>
          <w:sz w:val="24"/>
          <w:szCs w:val="24"/>
        </w:rPr>
      </w:pPr>
      <w:r w:rsidRPr="00DE148D">
        <w:rPr>
          <w:w w:val="105"/>
          <w:sz w:val="24"/>
          <w:szCs w:val="24"/>
        </w:rPr>
        <w:t>To achieve best practice, Advance Statements of wishes should, wherever possible, be incorporated in the care planning process. If at any time the Care receiver's wishes or preferences detailed within the Advance Statement cannot be met, there must be a clear rationale as to why, and this is discussed with the Care receiver. A record will be made as to why St Ewolds Care Home cannot accommodate the wishes within the Advance Statement.</w:t>
      </w:r>
    </w:p>
    <w:p w14:paraId="6F51C294" w14:textId="77777777" w:rsidR="00FA0CA2" w:rsidRPr="00DE148D" w:rsidRDefault="00FA0CA2" w:rsidP="00DE148D">
      <w:pPr>
        <w:pStyle w:val="BodyText"/>
        <w:spacing w:before="5"/>
        <w:ind w:left="851" w:right="891"/>
        <w:rPr>
          <w:sz w:val="24"/>
          <w:szCs w:val="24"/>
        </w:rPr>
      </w:pPr>
      <w:r w:rsidRPr="00DE148D">
        <w:rPr>
          <w:w w:val="105"/>
          <w:sz w:val="24"/>
          <w:szCs w:val="24"/>
        </w:rPr>
        <w:t>If the Care receiver is dissatisfied with the reason provided, staff can refer to the Complaints, Suggestions and Compliments Policy and Procedure at St Ewolds Care Home and due process will be followed.</w:t>
      </w:r>
    </w:p>
    <w:p w14:paraId="1EF1D401" w14:textId="605DAD60" w:rsidR="00FA0CA2" w:rsidRPr="00DE148D" w:rsidRDefault="00FA0CA2" w:rsidP="00DE148D">
      <w:pPr>
        <w:pStyle w:val="ListParagraph"/>
        <w:numPr>
          <w:ilvl w:val="1"/>
          <w:numId w:val="3"/>
        </w:numPr>
        <w:rPr>
          <w:rFonts w:ascii="Arial" w:hAnsi="Arial" w:cs="Arial"/>
          <w:szCs w:val="24"/>
        </w:rPr>
      </w:pPr>
      <w:r w:rsidRPr="00DE148D">
        <w:rPr>
          <w:rFonts w:ascii="Arial" w:hAnsi="Arial" w:cs="Arial"/>
          <w:spacing w:val="3"/>
          <w:w w:val="105"/>
          <w:szCs w:val="24"/>
        </w:rPr>
        <w:t>Advance Decision</w:t>
      </w:r>
      <w:r w:rsidRPr="00DE148D">
        <w:rPr>
          <w:rFonts w:ascii="Arial" w:hAnsi="Arial" w:cs="Arial"/>
          <w:spacing w:val="7"/>
          <w:w w:val="105"/>
          <w:szCs w:val="24"/>
        </w:rPr>
        <w:t xml:space="preserve"> </w:t>
      </w:r>
      <w:r w:rsidRPr="00DE148D">
        <w:rPr>
          <w:rFonts w:ascii="Arial" w:hAnsi="Arial" w:cs="Arial"/>
          <w:spacing w:val="4"/>
          <w:w w:val="105"/>
          <w:szCs w:val="24"/>
        </w:rPr>
        <w:t>Considerations</w:t>
      </w:r>
    </w:p>
    <w:p w14:paraId="3E5EE4BC" w14:textId="77777777" w:rsidR="00FA0CA2" w:rsidRPr="00DE148D" w:rsidRDefault="00FA0CA2" w:rsidP="00DE148D">
      <w:pPr>
        <w:pStyle w:val="BodyText"/>
        <w:spacing w:before="34"/>
        <w:ind w:left="851" w:right="872"/>
        <w:rPr>
          <w:sz w:val="24"/>
          <w:szCs w:val="24"/>
        </w:rPr>
      </w:pPr>
      <w:r w:rsidRPr="00DE148D">
        <w:rPr>
          <w:w w:val="105"/>
          <w:sz w:val="24"/>
          <w:szCs w:val="24"/>
        </w:rPr>
        <w:t>An Advance Decision can only be used to refuse treatment that might be offered. It cannot be used to insist on any particular treatment or medication being offered if the relevant professional considers it not to be in the person's best interests.</w:t>
      </w:r>
    </w:p>
    <w:p w14:paraId="5979C6E1" w14:textId="77777777" w:rsidR="00FA0CA2" w:rsidRPr="00DE148D" w:rsidRDefault="00FA0CA2" w:rsidP="00DE148D">
      <w:pPr>
        <w:pStyle w:val="BodyText"/>
        <w:spacing w:before="3"/>
        <w:ind w:left="851" w:right="891"/>
        <w:rPr>
          <w:sz w:val="24"/>
          <w:szCs w:val="24"/>
        </w:rPr>
      </w:pPr>
      <w:r w:rsidRPr="00DE148D">
        <w:rPr>
          <w:w w:val="105"/>
          <w:sz w:val="24"/>
          <w:szCs w:val="24"/>
        </w:rPr>
        <w:t xml:space="preserve">It can only be used to refuse treatment that could be defined as </w:t>
      </w:r>
      <w:r w:rsidRPr="00DE148D">
        <w:rPr>
          <w:w w:val="105"/>
          <w:sz w:val="24"/>
          <w:szCs w:val="24"/>
        </w:rPr>
        <w:lastRenderedPageBreak/>
        <w:t>'medical'. This includes clinically assisted nutrition or hydration (CANH). Nobody can use an Advance Decision to refuse; for example, admission to a care home, being offered suitable nutrition or hydration by mouth, or being kept clean and comfortable.</w:t>
      </w:r>
    </w:p>
    <w:p w14:paraId="2FCF83A0" w14:textId="77777777" w:rsidR="00FA0CA2" w:rsidRPr="00DE148D" w:rsidRDefault="00FA0CA2" w:rsidP="00DE148D">
      <w:pPr>
        <w:pStyle w:val="BodyText"/>
        <w:spacing w:before="3"/>
        <w:ind w:left="851" w:right="891"/>
        <w:rPr>
          <w:sz w:val="24"/>
          <w:szCs w:val="24"/>
        </w:rPr>
      </w:pPr>
      <w:r w:rsidRPr="00DE148D">
        <w:rPr>
          <w:w w:val="105"/>
          <w:sz w:val="24"/>
          <w:szCs w:val="24"/>
        </w:rPr>
        <w:t>For any Advance Decision to be valid, there must be a reasonable assumption that the Care receiver had the relevant mental capacity at the time of making the Advance Decision and had received sufficient information, with the consequences of refusing treatment explained to them. Staff should discuss Advance Decisions with the Care receiver's GP and ensure that there is a copy available, ideally both within</w:t>
      </w:r>
    </w:p>
    <w:p w14:paraId="46F95B74" w14:textId="77777777" w:rsidR="00FA0CA2" w:rsidRPr="00DE148D" w:rsidRDefault="00FA0CA2" w:rsidP="00DE148D">
      <w:pPr>
        <w:pStyle w:val="BodyText"/>
        <w:spacing w:before="4"/>
        <w:ind w:left="851"/>
        <w:rPr>
          <w:sz w:val="24"/>
          <w:szCs w:val="24"/>
        </w:rPr>
      </w:pPr>
      <w:r w:rsidRPr="00DE148D">
        <w:rPr>
          <w:w w:val="105"/>
          <w:sz w:val="24"/>
          <w:szCs w:val="24"/>
        </w:rPr>
        <w:t>the Care Plan for that Care receiver and recorded within the GP records for that Care receiver.</w:t>
      </w:r>
    </w:p>
    <w:p w14:paraId="6736522C" w14:textId="77777777" w:rsidR="00FA0CA2" w:rsidRPr="00DE148D" w:rsidRDefault="00FA0CA2" w:rsidP="00DE148D">
      <w:pPr>
        <w:pStyle w:val="BodyText"/>
        <w:spacing w:before="34"/>
        <w:ind w:left="851" w:right="872"/>
        <w:rPr>
          <w:w w:val="105"/>
          <w:sz w:val="24"/>
          <w:szCs w:val="24"/>
        </w:rPr>
      </w:pPr>
      <w:r w:rsidRPr="00DE148D">
        <w:rPr>
          <w:w w:val="105"/>
          <w:sz w:val="24"/>
          <w:szCs w:val="24"/>
        </w:rPr>
        <w:t>An Advance Decision might be difficult for some health and care staff or the Care receiver's relatives to accept, but we all have the right with capacity to make decisions about our own health that others may think unwise.</w:t>
      </w:r>
    </w:p>
    <w:p w14:paraId="29FB4471" w14:textId="77777777" w:rsidR="00FA0CA2" w:rsidRPr="00DE148D" w:rsidRDefault="00FA0CA2" w:rsidP="00DE148D">
      <w:pPr>
        <w:pStyle w:val="BodyText"/>
        <w:spacing w:before="34"/>
        <w:ind w:left="851" w:right="872"/>
        <w:rPr>
          <w:sz w:val="24"/>
          <w:szCs w:val="24"/>
        </w:rPr>
      </w:pPr>
      <w:r w:rsidRPr="00DE148D">
        <w:rPr>
          <w:w w:val="105"/>
          <w:sz w:val="24"/>
          <w:szCs w:val="24"/>
        </w:rPr>
        <w:t>Validly made and applicable Advance Decisions must never be ignored or overridden, as this may be a criminal offence under the Capacity and Self-Determination (Jersey) Law 2016, for which the individual member of staff may be held legally liable. Where a Care receiver has made an Advance Decision which includes life-sustaining treatment, such as CPR, this is legally binding if the person lacks capacity to make their own decision about this treatment at the time it needs to be made.</w:t>
      </w:r>
    </w:p>
    <w:p w14:paraId="48D0DF8B" w14:textId="77777777" w:rsidR="00FA0CA2" w:rsidRPr="00DE148D" w:rsidRDefault="00FA0CA2" w:rsidP="00DE148D">
      <w:pPr>
        <w:pStyle w:val="ListParagraph"/>
        <w:numPr>
          <w:ilvl w:val="1"/>
          <w:numId w:val="3"/>
        </w:numPr>
        <w:rPr>
          <w:rFonts w:ascii="Arial" w:hAnsi="Arial" w:cs="Arial"/>
          <w:szCs w:val="24"/>
        </w:rPr>
      </w:pPr>
      <w:r w:rsidRPr="00DE148D">
        <w:rPr>
          <w:rFonts w:ascii="Arial" w:hAnsi="Arial" w:cs="Arial"/>
          <w:w w:val="105"/>
          <w:szCs w:val="24"/>
        </w:rPr>
        <w:t>People may have both Advance Decisions to refuse treatment and court-appointed</w:t>
      </w:r>
      <w:r w:rsidRPr="00DE148D">
        <w:rPr>
          <w:rFonts w:ascii="Arial" w:hAnsi="Arial" w:cs="Arial"/>
          <w:spacing w:val="24"/>
          <w:w w:val="105"/>
          <w:szCs w:val="24"/>
        </w:rPr>
        <w:t xml:space="preserve"> </w:t>
      </w:r>
      <w:r w:rsidRPr="00DE148D">
        <w:rPr>
          <w:rFonts w:ascii="Arial" w:hAnsi="Arial" w:cs="Arial"/>
          <w:w w:val="105"/>
          <w:szCs w:val="24"/>
        </w:rPr>
        <w:t>delegates or attorneys (LPA for health and welfare), who have decision-making rights if the person lacks capacity to make their own health or care decisions. See the Capacity and Self-Determination Code of Practice Chapters 8 - 10 (in references) for how to balance these individuals' rights against the Advance Decision.</w:t>
      </w:r>
    </w:p>
    <w:p w14:paraId="263DBEBF" w14:textId="6614D8DF" w:rsidR="00FA0CA2" w:rsidRPr="00DE148D" w:rsidRDefault="00FA0CA2" w:rsidP="00DE148D">
      <w:pPr>
        <w:pStyle w:val="ListParagraph"/>
        <w:ind w:left="792"/>
        <w:rPr>
          <w:rFonts w:ascii="Arial" w:hAnsi="Arial" w:cs="Arial"/>
          <w:szCs w:val="24"/>
        </w:rPr>
      </w:pPr>
      <w:r w:rsidRPr="00DE148D">
        <w:rPr>
          <w:rFonts w:ascii="Arial" w:hAnsi="Arial" w:cs="Arial"/>
          <w:w w:val="105"/>
          <w:szCs w:val="24"/>
        </w:rPr>
        <w:t>If in doubt, take further advice or see the QCS factsheet on LPAs and Advance Decisions.</w:t>
      </w:r>
    </w:p>
    <w:p w14:paraId="0132E1CE" w14:textId="77777777" w:rsidR="00FA0CA2" w:rsidRPr="00DE148D" w:rsidRDefault="00FA0CA2" w:rsidP="00DE148D">
      <w:pPr>
        <w:pStyle w:val="ListParagraph"/>
        <w:ind w:left="792"/>
        <w:rPr>
          <w:rFonts w:ascii="Arial" w:hAnsi="Arial" w:cs="Arial"/>
          <w:szCs w:val="24"/>
        </w:rPr>
      </w:pPr>
    </w:p>
    <w:p w14:paraId="762028F0" w14:textId="21AD7303" w:rsidR="005C7CD9" w:rsidRPr="00DE148D" w:rsidRDefault="00B4606C" w:rsidP="00DE148D">
      <w:pPr>
        <w:pStyle w:val="ListParagraph"/>
        <w:numPr>
          <w:ilvl w:val="0"/>
          <w:numId w:val="3"/>
        </w:numPr>
        <w:rPr>
          <w:rFonts w:ascii="Arial" w:hAnsi="Arial" w:cs="Arial"/>
          <w:szCs w:val="24"/>
        </w:rPr>
      </w:pPr>
      <w:r w:rsidRPr="00DE148D">
        <w:rPr>
          <w:rFonts w:ascii="Arial" w:hAnsi="Arial" w:cs="Arial"/>
          <w:b/>
          <w:szCs w:val="24"/>
        </w:rPr>
        <w:t>Further Reading</w:t>
      </w:r>
    </w:p>
    <w:p w14:paraId="3558252E" w14:textId="77777777" w:rsidR="00B4606C" w:rsidRPr="00DE148D" w:rsidRDefault="00B4606C" w:rsidP="00DE148D">
      <w:pPr>
        <w:pStyle w:val="BodyText"/>
        <w:spacing w:before="113"/>
        <w:ind w:left="851" w:right="891"/>
        <w:rPr>
          <w:sz w:val="24"/>
          <w:szCs w:val="24"/>
        </w:rPr>
      </w:pPr>
      <w:r w:rsidRPr="00DE148D">
        <w:rPr>
          <w:w w:val="105"/>
          <w:sz w:val="24"/>
          <w:szCs w:val="24"/>
        </w:rPr>
        <w:t>As well as the information in the 'underpinning knowledge' section of the review sheet we recommend that you add to your understanding in this policy area by considering the following materials:</w:t>
      </w:r>
    </w:p>
    <w:p w14:paraId="11972E94" w14:textId="77777777" w:rsidR="00B4606C" w:rsidRPr="00DE148D" w:rsidRDefault="00B4606C" w:rsidP="00DE148D">
      <w:pPr>
        <w:pStyle w:val="ListParagraph"/>
        <w:spacing w:before="55"/>
        <w:ind w:left="851" w:right="1785"/>
        <w:rPr>
          <w:rFonts w:ascii="Arial" w:hAnsi="Arial" w:cs="Arial"/>
          <w:szCs w:val="24"/>
        </w:rPr>
      </w:pPr>
      <w:r w:rsidRPr="00DE148D">
        <w:rPr>
          <w:rFonts w:ascii="Arial" w:hAnsi="Arial" w:cs="Arial"/>
          <w:b/>
          <w:w w:val="105"/>
          <w:szCs w:val="24"/>
        </w:rPr>
        <w:t xml:space="preserve">QCS Factsheet on Advance Decisions and LPAs - Located in the QCS Resource Centre Age UK - Advance decisions, advance statements and living wills: </w:t>
      </w:r>
      <w:hyperlink r:id="rId13">
        <w:r w:rsidRPr="00DE148D">
          <w:rPr>
            <w:rFonts w:ascii="Arial" w:hAnsi="Arial" w:cs="Arial"/>
            <w:w w:val="105"/>
            <w:szCs w:val="24"/>
            <w:u w:val="single" w:color="0066CC"/>
          </w:rPr>
          <w:t>https://www.ageuk.org.uk/globalassets/age-</w:t>
        </w:r>
      </w:hyperlink>
    </w:p>
    <w:p w14:paraId="6FE2A793" w14:textId="77777777" w:rsidR="00B4606C" w:rsidRPr="00DE148D" w:rsidRDefault="004B6D2C" w:rsidP="00DE148D">
      <w:pPr>
        <w:pStyle w:val="BodyText"/>
        <w:spacing w:before="3"/>
        <w:ind w:left="851" w:right="891"/>
        <w:rPr>
          <w:sz w:val="24"/>
          <w:szCs w:val="24"/>
        </w:rPr>
      </w:pPr>
      <w:hyperlink r:id="rId14">
        <w:r w:rsidR="00B4606C" w:rsidRPr="00DE148D">
          <w:rPr>
            <w:w w:val="105"/>
            <w:sz w:val="24"/>
            <w:szCs w:val="24"/>
            <w:u w:val="single" w:color="0066CC"/>
          </w:rPr>
          <w:t>uk/documents/factsheets/fs72_advance_decisions_advance_sta</w:t>
        </w:r>
        <w:r w:rsidR="00B4606C" w:rsidRPr="00DE148D">
          <w:rPr>
            <w:w w:val="105"/>
            <w:sz w:val="24"/>
            <w:szCs w:val="24"/>
            <w:u w:val="single" w:color="0066CC"/>
          </w:rPr>
          <w:lastRenderedPageBreak/>
          <w:t>tements_and_living_wills_fcs.pdf?dtrk=tru</w:t>
        </w:r>
      </w:hyperlink>
      <w:r w:rsidR="00B4606C" w:rsidRPr="00DE148D">
        <w:rPr>
          <w:w w:val="105"/>
          <w:sz w:val="24"/>
          <w:szCs w:val="24"/>
        </w:rPr>
        <w:t xml:space="preserve"> </w:t>
      </w:r>
      <w:hyperlink r:id="rId15">
        <w:r w:rsidR="00B4606C" w:rsidRPr="00DE148D">
          <w:rPr>
            <w:w w:val="105"/>
            <w:sz w:val="24"/>
            <w:szCs w:val="24"/>
            <w:u w:val="single" w:color="0066CC"/>
          </w:rPr>
          <w:t>e</w:t>
        </w:r>
      </w:hyperlink>
    </w:p>
    <w:p w14:paraId="65439B00" w14:textId="77777777" w:rsidR="00B4606C" w:rsidRPr="00DE148D" w:rsidRDefault="00B4606C" w:rsidP="00DE148D">
      <w:pPr>
        <w:pStyle w:val="ListParagraph"/>
        <w:spacing w:before="2"/>
        <w:ind w:left="851" w:right="2803"/>
        <w:rPr>
          <w:rFonts w:ascii="Arial" w:hAnsi="Arial" w:cs="Arial"/>
          <w:b/>
          <w:szCs w:val="24"/>
        </w:rPr>
      </w:pPr>
      <w:r w:rsidRPr="00DE148D">
        <w:rPr>
          <w:rFonts w:ascii="Arial" w:hAnsi="Arial" w:cs="Arial"/>
          <w:b/>
          <w:w w:val="105"/>
          <w:szCs w:val="24"/>
        </w:rPr>
        <w:t xml:space="preserve">Alzheimer's Society - What is an advance statement? </w:t>
      </w:r>
      <w:hyperlink r:id="rId16">
        <w:r w:rsidRPr="00DE148D">
          <w:rPr>
            <w:rFonts w:ascii="Arial" w:hAnsi="Arial" w:cs="Arial"/>
            <w:szCs w:val="24"/>
            <w:u w:val="single" w:color="0066CC"/>
          </w:rPr>
          <w:t>https://www.alzheimers.org.uk/get-support/legal-financial/what-is-advance-statement</w:t>
        </w:r>
      </w:hyperlink>
      <w:r w:rsidRPr="00DE148D">
        <w:rPr>
          <w:rFonts w:ascii="Arial" w:hAnsi="Arial" w:cs="Arial"/>
          <w:szCs w:val="24"/>
        </w:rPr>
        <w:t xml:space="preserve"> </w:t>
      </w:r>
      <w:r w:rsidRPr="00DE148D">
        <w:rPr>
          <w:rFonts w:ascii="Arial" w:hAnsi="Arial" w:cs="Arial"/>
          <w:b/>
          <w:w w:val="105"/>
          <w:szCs w:val="24"/>
        </w:rPr>
        <w:t xml:space="preserve">Cancer Research UK - Advance care planning: </w:t>
      </w:r>
      <w:hyperlink r:id="rId17">
        <w:r w:rsidRPr="00DE148D">
          <w:rPr>
            <w:rFonts w:ascii="Arial" w:hAnsi="Arial" w:cs="Arial"/>
            <w:szCs w:val="24"/>
            <w:u w:val="single" w:color="0066CC"/>
          </w:rPr>
          <w:t>https://www.alzheimers.org.uk/get-support/legal-financial/what-is-advance-statement</w:t>
        </w:r>
      </w:hyperlink>
      <w:r w:rsidRPr="00DE148D">
        <w:rPr>
          <w:rFonts w:ascii="Arial" w:hAnsi="Arial" w:cs="Arial"/>
          <w:szCs w:val="24"/>
        </w:rPr>
        <w:t xml:space="preserve"> </w:t>
      </w:r>
      <w:r w:rsidRPr="00DE148D">
        <w:rPr>
          <w:rFonts w:ascii="Arial" w:hAnsi="Arial" w:cs="Arial"/>
          <w:b/>
          <w:w w:val="105"/>
          <w:szCs w:val="24"/>
        </w:rPr>
        <w:t xml:space="preserve">Compassion in Dying - Making decisions and planning your care: </w:t>
      </w:r>
      <w:hyperlink r:id="rId18">
        <w:r w:rsidRPr="00DE148D">
          <w:rPr>
            <w:rFonts w:ascii="Arial" w:hAnsi="Arial" w:cs="Arial"/>
            <w:w w:val="105"/>
            <w:szCs w:val="24"/>
            <w:u w:val="single" w:color="0066CC"/>
          </w:rPr>
          <w:t>https://compassionindying.org.uk/making-decisions-and-planning-your-care/</w:t>
        </w:r>
      </w:hyperlink>
      <w:r w:rsidRPr="00DE148D">
        <w:rPr>
          <w:rFonts w:ascii="Arial" w:hAnsi="Arial" w:cs="Arial"/>
          <w:w w:val="105"/>
          <w:szCs w:val="24"/>
        </w:rPr>
        <w:t xml:space="preserve"> </w:t>
      </w:r>
      <w:r w:rsidRPr="00DE148D">
        <w:rPr>
          <w:rFonts w:ascii="Arial" w:hAnsi="Arial" w:cs="Arial"/>
          <w:b/>
          <w:w w:val="105"/>
          <w:szCs w:val="24"/>
        </w:rPr>
        <w:t>Macmillan Cancer Support - Advance care planning:</w:t>
      </w:r>
    </w:p>
    <w:p w14:paraId="6D9E3EB7" w14:textId="77777777" w:rsidR="00B4606C" w:rsidRPr="00DE148D" w:rsidRDefault="004B6D2C" w:rsidP="00DE148D">
      <w:pPr>
        <w:pStyle w:val="BodyText"/>
        <w:spacing w:before="7"/>
        <w:ind w:left="851" w:right="1615"/>
        <w:rPr>
          <w:sz w:val="24"/>
          <w:szCs w:val="24"/>
        </w:rPr>
      </w:pPr>
      <w:hyperlink r:id="rId19">
        <w:r w:rsidR="00B4606C" w:rsidRPr="00DE148D">
          <w:rPr>
            <w:w w:val="105"/>
            <w:sz w:val="24"/>
            <w:szCs w:val="24"/>
            <w:u w:val="single" w:color="0066CC"/>
          </w:rPr>
          <w:t>https://www.macmillan.org.uk/cancer-information-and-support/treatment/if-you-have-an-advanced-</w:t>
        </w:r>
      </w:hyperlink>
      <w:r w:rsidR="00B4606C" w:rsidRPr="00DE148D">
        <w:rPr>
          <w:w w:val="105"/>
          <w:sz w:val="24"/>
          <w:szCs w:val="24"/>
        </w:rPr>
        <w:t xml:space="preserve"> </w:t>
      </w:r>
      <w:hyperlink r:id="rId20">
        <w:r w:rsidR="00B4606C" w:rsidRPr="00DE148D">
          <w:rPr>
            <w:w w:val="105"/>
            <w:sz w:val="24"/>
            <w:szCs w:val="24"/>
            <w:u w:val="single" w:color="0066CC"/>
          </w:rPr>
          <w:t>cancer/advance-care-planning</w:t>
        </w:r>
      </w:hyperlink>
    </w:p>
    <w:p w14:paraId="6AD8EC03" w14:textId="77777777" w:rsidR="00B4606C" w:rsidRPr="00DE148D" w:rsidRDefault="00B4606C" w:rsidP="00DE148D">
      <w:pPr>
        <w:pStyle w:val="Heading1"/>
        <w:ind w:left="851" w:firstLine="0"/>
        <w:rPr>
          <w:sz w:val="24"/>
          <w:szCs w:val="24"/>
        </w:rPr>
      </w:pPr>
      <w:r w:rsidRPr="00DE148D">
        <w:rPr>
          <w:w w:val="105"/>
          <w:sz w:val="24"/>
          <w:szCs w:val="24"/>
        </w:rPr>
        <w:t>NHS UK - Advance statement about your wishes, end of life care:</w:t>
      </w:r>
    </w:p>
    <w:p w14:paraId="1EE320E9" w14:textId="77777777" w:rsidR="00B4606C" w:rsidRPr="00DE148D" w:rsidRDefault="004B6D2C" w:rsidP="00DE148D">
      <w:pPr>
        <w:pStyle w:val="BodyText"/>
        <w:spacing w:before="34"/>
        <w:ind w:left="851"/>
        <w:rPr>
          <w:sz w:val="24"/>
          <w:szCs w:val="24"/>
        </w:rPr>
      </w:pPr>
      <w:hyperlink r:id="rId21">
        <w:r w:rsidR="00B4606C" w:rsidRPr="00DE148D">
          <w:rPr>
            <w:w w:val="105"/>
            <w:sz w:val="24"/>
            <w:szCs w:val="24"/>
            <w:u w:val="single" w:color="0066CC"/>
          </w:rPr>
          <w:t>https://www.nhs.uk/conditions/end-of-life-care/advance-statement/</w:t>
        </w:r>
      </w:hyperlink>
    </w:p>
    <w:p w14:paraId="3EC312AC" w14:textId="53E0FEF3" w:rsidR="00B4606C" w:rsidRPr="00DE148D" w:rsidRDefault="00B4606C" w:rsidP="00DE148D">
      <w:pPr>
        <w:rPr>
          <w:rFonts w:ascii="Arial" w:hAnsi="Arial" w:cs="Arial"/>
          <w:szCs w:val="24"/>
        </w:rPr>
      </w:pPr>
    </w:p>
    <w:sectPr w:rsidR="00B4606C" w:rsidRPr="00DE148D" w:rsidSect="00761911">
      <w:headerReference w:type="default" r:id="rId22"/>
      <w:footerReference w:type="default" r:id="rId23"/>
      <w:headerReference w:type="first" r:id="rId24"/>
      <w:footerReference w:type="first" r:id="rId25"/>
      <w:pgSz w:w="11904" w:h="16834"/>
      <w:pgMar w:top="2410" w:right="1131" w:bottom="1440" w:left="1843"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6337" w14:textId="77777777" w:rsidR="00CC1AC4" w:rsidRDefault="00CC1AC4">
      <w:pPr>
        <w:spacing w:after="0"/>
      </w:pPr>
      <w:r>
        <w:separator/>
      </w:r>
    </w:p>
  </w:endnote>
  <w:endnote w:type="continuationSeparator" w:id="0">
    <w:p w14:paraId="7EC020BC" w14:textId="77777777" w:rsidR="00CC1AC4" w:rsidRDefault="00CC1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7DB9" w14:textId="45D6535C" w:rsidR="002363ED" w:rsidRDefault="002363ED" w:rsidP="002363ED">
    <w:pPr>
      <w:pStyle w:val="Footer"/>
      <w:ind w:left="-17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EA9FE" w14:textId="04359169" w:rsidR="00FE3492" w:rsidRDefault="00FE3492" w:rsidP="00FE3492">
    <w:pPr>
      <w:pStyle w:val="Footer"/>
      <w:ind w:left="-17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95A27" w14:textId="77777777" w:rsidR="00CC1AC4" w:rsidRDefault="00CC1AC4">
      <w:pPr>
        <w:spacing w:after="0"/>
      </w:pPr>
      <w:r>
        <w:separator/>
      </w:r>
    </w:p>
  </w:footnote>
  <w:footnote w:type="continuationSeparator" w:id="0">
    <w:p w14:paraId="6AB4D8EF" w14:textId="77777777" w:rsidR="00CC1AC4" w:rsidRDefault="00CC1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B929" w14:textId="4A48D2F4" w:rsidR="00FE1915" w:rsidRDefault="002C15C8">
    <w:pPr>
      <w:pStyle w:val="Header"/>
    </w:pPr>
    <w:r>
      <w:rPr>
        <w:noProof/>
        <w:lang w:eastAsia="en-GB"/>
      </w:rPr>
      <w:drawing>
        <wp:anchor distT="0" distB="0" distL="114300" distR="114300" simplePos="0" relativeHeight="251666432" behindDoc="1" locked="0" layoutInCell="1" allowOverlap="1" wp14:anchorId="5DF0A71E" wp14:editId="5DE8AF1E">
          <wp:simplePos x="0" y="0"/>
          <wp:positionH relativeFrom="column">
            <wp:posOffset>-1131242</wp:posOffset>
          </wp:positionH>
          <wp:positionV relativeFrom="paragraph">
            <wp:posOffset>0</wp:posOffset>
          </wp:positionV>
          <wp:extent cx="589915" cy="17502559"/>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srcRect r="92228"/>
                  <a:stretch/>
                </pic:blipFill>
                <pic:spPr bwMode="auto">
                  <a:xfrm>
                    <a:off x="0" y="0"/>
                    <a:ext cx="589915" cy="17502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E5764A7" wp14:editId="1621A9F7">
          <wp:simplePos x="0" y="0"/>
          <wp:positionH relativeFrom="column">
            <wp:posOffset>5098743</wp:posOffset>
          </wp:positionH>
          <wp:positionV relativeFrom="paragraph">
            <wp:posOffset>0</wp:posOffset>
          </wp:positionV>
          <wp:extent cx="1905000" cy="901700"/>
          <wp:effectExtent l="0" t="0" r="0" b="0"/>
          <wp:wrapNone/>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stretch>
                    <a:fillRect/>
                  </a:stretch>
                </pic:blipFill>
                <pic:spPr>
                  <a:xfrm>
                    <a:off x="0" y="0"/>
                    <a:ext cx="1905000" cy="901700"/>
                  </a:xfrm>
                  <a:prstGeom prst="rect">
                    <a:avLst/>
                  </a:prstGeom>
                </pic:spPr>
              </pic:pic>
            </a:graphicData>
          </a:graphic>
          <wp14:sizeRelH relativeFrom="page">
            <wp14:pctWidth>0</wp14:pctWidth>
          </wp14:sizeRelH>
          <wp14:sizeRelV relativeFrom="page">
            <wp14:pctHeight>0</wp14:pctHeight>
          </wp14:sizeRelV>
        </wp:anchor>
      </w:drawing>
    </w:r>
    <w:r w:rsidR="00381B75">
      <w:rPr>
        <w:noProof/>
        <w:lang w:eastAsia="en-GB"/>
      </w:rPr>
      <mc:AlternateContent>
        <mc:Choice Requires="wps">
          <w:drawing>
            <wp:anchor distT="0" distB="0" distL="114300" distR="114300" simplePos="0" relativeHeight="251658240" behindDoc="0" locked="0" layoutInCell="1" allowOverlap="1" wp14:anchorId="29782BB8" wp14:editId="7971A24C">
              <wp:simplePos x="0" y="0"/>
              <wp:positionH relativeFrom="column">
                <wp:posOffset>-1318260</wp:posOffset>
              </wp:positionH>
              <wp:positionV relativeFrom="paragraph">
                <wp:posOffset>3552825</wp:posOffset>
              </wp:positionV>
              <wp:extent cx="7772400" cy="0"/>
              <wp:effectExtent l="0" t="101600" r="0" b="1016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85897E" w14:textId="77777777" w:rsidR="00FE1915" w:rsidRDefault="00FE1915" w:rsidP="002363ED">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2BB8" id="_x0000_t202" coordsize="21600,21600" o:spt="202" path="m,l,21600r21600,l21600,xe">
              <v:stroke joinstyle="miter"/>
              <v:path gradientshapeok="t" o:connecttype="rect"/>
            </v:shapetype>
            <v:shape id="Text Box 2" o:spid="_x0000_s1026" type="#_x0000_t202" style="position:absolute;margin-left:-103.8pt;margin-top:279.75pt;width:6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" filled="f" stroked="f">
              <v:textbox inset=",7.2pt,,7.2pt">
                <w:txbxContent>
                  <w:p w14:paraId="0D85897E" w14:textId="77777777" w:rsidR="00FE1915" w:rsidRDefault="00FE1915" w:rsidP="002363ED">
                    <w:pPr>
                      <w:ind w:left="142"/>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0B37" w14:textId="161817FA" w:rsidR="00FE3492" w:rsidRDefault="002C15C8" w:rsidP="00FE3492">
    <w:pPr>
      <w:pStyle w:val="Header"/>
      <w:ind w:left="-1797"/>
    </w:pPr>
    <w:r>
      <w:rPr>
        <w:noProof/>
        <w:lang w:eastAsia="en-GB"/>
      </w:rPr>
      <w:drawing>
        <wp:anchor distT="0" distB="0" distL="114300" distR="114300" simplePos="0" relativeHeight="251660287" behindDoc="0" locked="0" layoutInCell="1" allowOverlap="1" wp14:anchorId="1476AD82" wp14:editId="0931015D">
          <wp:simplePos x="0" y="0"/>
          <wp:positionH relativeFrom="column">
            <wp:posOffset>-1131264</wp:posOffset>
          </wp:positionH>
          <wp:positionV relativeFrom="paragraph">
            <wp:posOffset>-31979</wp:posOffset>
          </wp:positionV>
          <wp:extent cx="7590503" cy="10729006"/>
          <wp:effectExtent l="0" t="0" r="4445" b="2540"/>
          <wp:wrapNone/>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7596848" cy="10737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75D5C38" wp14:editId="7EB49A08">
          <wp:simplePos x="0" y="0"/>
          <wp:positionH relativeFrom="column">
            <wp:posOffset>3965575</wp:posOffset>
          </wp:positionH>
          <wp:positionV relativeFrom="paragraph">
            <wp:posOffset>0</wp:posOffset>
          </wp:positionV>
          <wp:extent cx="2438400" cy="1803400"/>
          <wp:effectExtent l="0" t="0" r="0" b="0"/>
          <wp:wrapNone/>
          <wp:docPr id="57" name="Picture 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stretch>
                    <a:fillRect/>
                  </a:stretch>
                </pic:blipFill>
                <pic:spPr>
                  <a:xfrm>
                    <a:off x="0" y="0"/>
                    <a:ext cx="2438400" cy="180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D3417"/>
    <w:multiLevelType w:val="multilevel"/>
    <w:tmpl w:val="450EC0B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numFmt w:val="bullet"/>
      <w:lvlText w:val="•"/>
      <w:lvlJc w:val="left"/>
      <w:pPr>
        <w:ind w:left="1224" w:hanging="504"/>
      </w:pPr>
      <w:rPr>
        <w:rFonts w:ascii="Arial" w:eastAsia="Arial" w:hAnsi="Arial" w:cs="Arial" w:hint="default"/>
        <w:color w:val="353535"/>
        <w:w w:val="104"/>
        <w:sz w:val="18"/>
        <w:szCs w:val="18"/>
        <w:lang w:val="en-US" w:eastAsia="en-US" w:bidi="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0C2F8F"/>
    <w:multiLevelType w:val="hybridMultilevel"/>
    <w:tmpl w:val="43A6B4C2"/>
    <w:lvl w:ilvl="0" w:tplc="CAC8D32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D4E544A">
      <w:numFmt w:val="bullet"/>
      <w:lvlText w:val="•"/>
      <w:lvlJc w:val="left"/>
      <w:pPr>
        <w:ind w:left="1112" w:hanging="175"/>
      </w:pPr>
      <w:rPr>
        <w:rFonts w:hint="default"/>
        <w:lang w:val="en-US" w:eastAsia="en-US" w:bidi="en-US"/>
      </w:rPr>
    </w:lvl>
    <w:lvl w:ilvl="2" w:tplc="0ABAC376">
      <w:numFmt w:val="bullet"/>
      <w:lvlText w:val="•"/>
      <w:lvlJc w:val="left"/>
      <w:pPr>
        <w:ind w:left="1884" w:hanging="175"/>
      </w:pPr>
      <w:rPr>
        <w:rFonts w:hint="default"/>
        <w:lang w:val="en-US" w:eastAsia="en-US" w:bidi="en-US"/>
      </w:rPr>
    </w:lvl>
    <w:lvl w:ilvl="3" w:tplc="3048C436">
      <w:numFmt w:val="bullet"/>
      <w:lvlText w:val="•"/>
      <w:lvlJc w:val="left"/>
      <w:pPr>
        <w:ind w:left="2656" w:hanging="175"/>
      </w:pPr>
      <w:rPr>
        <w:rFonts w:hint="default"/>
        <w:lang w:val="en-US" w:eastAsia="en-US" w:bidi="en-US"/>
      </w:rPr>
    </w:lvl>
    <w:lvl w:ilvl="4" w:tplc="C36206BC">
      <w:numFmt w:val="bullet"/>
      <w:lvlText w:val="•"/>
      <w:lvlJc w:val="left"/>
      <w:pPr>
        <w:ind w:left="3428" w:hanging="175"/>
      </w:pPr>
      <w:rPr>
        <w:rFonts w:hint="default"/>
        <w:lang w:val="en-US" w:eastAsia="en-US" w:bidi="en-US"/>
      </w:rPr>
    </w:lvl>
    <w:lvl w:ilvl="5" w:tplc="B3707290">
      <w:numFmt w:val="bullet"/>
      <w:lvlText w:val="•"/>
      <w:lvlJc w:val="left"/>
      <w:pPr>
        <w:ind w:left="4200" w:hanging="175"/>
      </w:pPr>
      <w:rPr>
        <w:rFonts w:hint="default"/>
        <w:lang w:val="en-US" w:eastAsia="en-US" w:bidi="en-US"/>
      </w:rPr>
    </w:lvl>
    <w:lvl w:ilvl="6" w:tplc="9A344C62">
      <w:numFmt w:val="bullet"/>
      <w:lvlText w:val="•"/>
      <w:lvlJc w:val="left"/>
      <w:pPr>
        <w:ind w:left="4972" w:hanging="175"/>
      </w:pPr>
      <w:rPr>
        <w:rFonts w:hint="default"/>
        <w:lang w:val="en-US" w:eastAsia="en-US" w:bidi="en-US"/>
      </w:rPr>
    </w:lvl>
    <w:lvl w:ilvl="7" w:tplc="B06A7010">
      <w:numFmt w:val="bullet"/>
      <w:lvlText w:val="•"/>
      <w:lvlJc w:val="left"/>
      <w:pPr>
        <w:ind w:left="5744" w:hanging="175"/>
      </w:pPr>
      <w:rPr>
        <w:rFonts w:hint="default"/>
        <w:lang w:val="en-US" w:eastAsia="en-US" w:bidi="en-US"/>
      </w:rPr>
    </w:lvl>
    <w:lvl w:ilvl="8" w:tplc="B060DD32">
      <w:numFmt w:val="bullet"/>
      <w:lvlText w:val="•"/>
      <w:lvlJc w:val="left"/>
      <w:pPr>
        <w:ind w:left="6516" w:hanging="175"/>
      </w:pPr>
      <w:rPr>
        <w:rFonts w:hint="default"/>
        <w:lang w:val="en-US" w:eastAsia="en-US" w:bidi="en-US"/>
      </w:rPr>
    </w:lvl>
  </w:abstractNum>
  <w:abstractNum w:abstractNumId="2" w15:restartNumberingAfterBreak="0">
    <w:nsid w:val="1CB7512F"/>
    <w:multiLevelType w:val="multilevel"/>
    <w:tmpl w:val="94B8CDF2"/>
    <w:lvl w:ilvl="0">
      <w:start w:val="4"/>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abstractNum w:abstractNumId="3" w15:restartNumberingAfterBreak="0">
    <w:nsid w:val="2479666C"/>
    <w:multiLevelType w:val="hybridMultilevel"/>
    <w:tmpl w:val="1E54C4D4"/>
    <w:lvl w:ilvl="0" w:tplc="94609992">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8CEA544">
      <w:numFmt w:val="bullet"/>
      <w:lvlText w:val="•"/>
      <w:lvlJc w:val="left"/>
      <w:pPr>
        <w:ind w:left="1112" w:hanging="175"/>
      </w:pPr>
      <w:rPr>
        <w:rFonts w:hint="default"/>
        <w:lang w:val="en-US" w:eastAsia="en-US" w:bidi="en-US"/>
      </w:rPr>
    </w:lvl>
    <w:lvl w:ilvl="2" w:tplc="982AEA1A">
      <w:numFmt w:val="bullet"/>
      <w:lvlText w:val="•"/>
      <w:lvlJc w:val="left"/>
      <w:pPr>
        <w:ind w:left="1884" w:hanging="175"/>
      </w:pPr>
      <w:rPr>
        <w:rFonts w:hint="default"/>
        <w:lang w:val="en-US" w:eastAsia="en-US" w:bidi="en-US"/>
      </w:rPr>
    </w:lvl>
    <w:lvl w:ilvl="3" w:tplc="91EA3806">
      <w:numFmt w:val="bullet"/>
      <w:lvlText w:val="•"/>
      <w:lvlJc w:val="left"/>
      <w:pPr>
        <w:ind w:left="2656" w:hanging="175"/>
      </w:pPr>
      <w:rPr>
        <w:rFonts w:hint="default"/>
        <w:lang w:val="en-US" w:eastAsia="en-US" w:bidi="en-US"/>
      </w:rPr>
    </w:lvl>
    <w:lvl w:ilvl="4" w:tplc="B82E4026">
      <w:numFmt w:val="bullet"/>
      <w:lvlText w:val="•"/>
      <w:lvlJc w:val="left"/>
      <w:pPr>
        <w:ind w:left="3428" w:hanging="175"/>
      </w:pPr>
      <w:rPr>
        <w:rFonts w:hint="default"/>
        <w:lang w:val="en-US" w:eastAsia="en-US" w:bidi="en-US"/>
      </w:rPr>
    </w:lvl>
    <w:lvl w:ilvl="5" w:tplc="6ADC0E50">
      <w:numFmt w:val="bullet"/>
      <w:lvlText w:val="•"/>
      <w:lvlJc w:val="left"/>
      <w:pPr>
        <w:ind w:left="4200" w:hanging="175"/>
      </w:pPr>
      <w:rPr>
        <w:rFonts w:hint="default"/>
        <w:lang w:val="en-US" w:eastAsia="en-US" w:bidi="en-US"/>
      </w:rPr>
    </w:lvl>
    <w:lvl w:ilvl="6" w:tplc="4FD4F51A">
      <w:numFmt w:val="bullet"/>
      <w:lvlText w:val="•"/>
      <w:lvlJc w:val="left"/>
      <w:pPr>
        <w:ind w:left="4972" w:hanging="175"/>
      </w:pPr>
      <w:rPr>
        <w:rFonts w:hint="default"/>
        <w:lang w:val="en-US" w:eastAsia="en-US" w:bidi="en-US"/>
      </w:rPr>
    </w:lvl>
    <w:lvl w:ilvl="7" w:tplc="ABC41404">
      <w:numFmt w:val="bullet"/>
      <w:lvlText w:val="•"/>
      <w:lvlJc w:val="left"/>
      <w:pPr>
        <w:ind w:left="5744" w:hanging="175"/>
      </w:pPr>
      <w:rPr>
        <w:rFonts w:hint="default"/>
        <w:lang w:val="en-US" w:eastAsia="en-US" w:bidi="en-US"/>
      </w:rPr>
    </w:lvl>
    <w:lvl w:ilvl="8" w:tplc="315E5498">
      <w:numFmt w:val="bullet"/>
      <w:lvlText w:val="•"/>
      <w:lvlJc w:val="left"/>
      <w:pPr>
        <w:ind w:left="6516" w:hanging="175"/>
      </w:pPr>
      <w:rPr>
        <w:rFonts w:hint="default"/>
        <w:lang w:val="en-US" w:eastAsia="en-US" w:bidi="en-US"/>
      </w:rPr>
    </w:lvl>
  </w:abstractNum>
  <w:abstractNum w:abstractNumId="4" w15:restartNumberingAfterBreak="0">
    <w:nsid w:val="29AA177E"/>
    <w:multiLevelType w:val="hybridMultilevel"/>
    <w:tmpl w:val="DD1AE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B623E2"/>
    <w:multiLevelType w:val="hybridMultilevel"/>
    <w:tmpl w:val="79EA6708"/>
    <w:lvl w:ilvl="0" w:tplc="30CEA42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483808AC">
      <w:numFmt w:val="bullet"/>
      <w:lvlText w:val="•"/>
      <w:lvlJc w:val="left"/>
      <w:pPr>
        <w:ind w:left="1112" w:hanging="175"/>
      </w:pPr>
      <w:rPr>
        <w:rFonts w:hint="default"/>
        <w:lang w:val="en-US" w:eastAsia="en-US" w:bidi="en-US"/>
      </w:rPr>
    </w:lvl>
    <w:lvl w:ilvl="2" w:tplc="18A4A5BA">
      <w:numFmt w:val="bullet"/>
      <w:lvlText w:val="•"/>
      <w:lvlJc w:val="left"/>
      <w:pPr>
        <w:ind w:left="1884" w:hanging="175"/>
      </w:pPr>
      <w:rPr>
        <w:rFonts w:hint="default"/>
        <w:lang w:val="en-US" w:eastAsia="en-US" w:bidi="en-US"/>
      </w:rPr>
    </w:lvl>
    <w:lvl w:ilvl="3" w:tplc="5C9AEAC6">
      <w:numFmt w:val="bullet"/>
      <w:lvlText w:val="•"/>
      <w:lvlJc w:val="left"/>
      <w:pPr>
        <w:ind w:left="2656" w:hanging="175"/>
      </w:pPr>
      <w:rPr>
        <w:rFonts w:hint="default"/>
        <w:lang w:val="en-US" w:eastAsia="en-US" w:bidi="en-US"/>
      </w:rPr>
    </w:lvl>
    <w:lvl w:ilvl="4" w:tplc="5D2E154E">
      <w:numFmt w:val="bullet"/>
      <w:lvlText w:val="•"/>
      <w:lvlJc w:val="left"/>
      <w:pPr>
        <w:ind w:left="3428" w:hanging="175"/>
      </w:pPr>
      <w:rPr>
        <w:rFonts w:hint="default"/>
        <w:lang w:val="en-US" w:eastAsia="en-US" w:bidi="en-US"/>
      </w:rPr>
    </w:lvl>
    <w:lvl w:ilvl="5" w:tplc="B6AA36F8">
      <w:numFmt w:val="bullet"/>
      <w:lvlText w:val="•"/>
      <w:lvlJc w:val="left"/>
      <w:pPr>
        <w:ind w:left="4200" w:hanging="175"/>
      </w:pPr>
      <w:rPr>
        <w:rFonts w:hint="default"/>
        <w:lang w:val="en-US" w:eastAsia="en-US" w:bidi="en-US"/>
      </w:rPr>
    </w:lvl>
    <w:lvl w:ilvl="6" w:tplc="0FF8F390">
      <w:numFmt w:val="bullet"/>
      <w:lvlText w:val="•"/>
      <w:lvlJc w:val="left"/>
      <w:pPr>
        <w:ind w:left="4972" w:hanging="175"/>
      </w:pPr>
      <w:rPr>
        <w:rFonts w:hint="default"/>
        <w:lang w:val="en-US" w:eastAsia="en-US" w:bidi="en-US"/>
      </w:rPr>
    </w:lvl>
    <w:lvl w:ilvl="7" w:tplc="8DB629AE">
      <w:numFmt w:val="bullet"/>
      <w:lvlText w:val="•"/>
      <w:lvlJc w:val="left"/>
      <w:pPr>
        <w:ind w:left="5744" w:hanging="175"/>
      </w:pPr>
      <w:rPr>
        <w:rFonts w:hint="default"/>
        <w:lang w:val="en-US" w:eastAsia="en-US" w:bidi="en-US"/>
      </w:rPr>
    </w:lvl>
    <w:lvl w:ilvl="8" w:tplc="5734FE3E">
      <w:numFmt w:val="bullet"/>
      <w:lvlText w:val="•"/>
      <w:lvlJc w:val="left"/>
      <w:pPr>
        <w:ind w:left="6516" w:hanging="175"/>
      </w:pPr>
      <w:rPr>
        <w:rFonts w:hint="default"/>
        <w:lang w:val="en-US" w:eastAsia="en-US" w:bidi="en-US"/>
      </w:rPr>
    </w:lvl>
  </w:abstractNum>
  <w:abstractNum w:abstractNumId="6" w15:restartNumberingAfterBreak="0">
    <w:nsid w:val="3E730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947853"/>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9A69CC"/>
    <w:multiLevelType w:val="hybridMultilevel"/>
    <w:tmpl w:val="0868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57EC1"/>
    <w:multiLevelType w:val="hybridMultilevel"/>
    <w:tmpl w:val="B2805832"/>
    <w:lvl w:ilvl="0" w:tplc="875EB2C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6CEF42A">
      <w:numFmt w:val="bullet"/>
      <w:lvlText w:val="•"/>
      <w:lvlJc w:val="left"/>
      <w:pPr>
        <w:ind w:left="1112" w:hanging="175"/>
      </w:pPr>
      <w:rPr>
        <w:rFonts w:hint="default"/>
        <w:lang w:val="en-US" w:eastAsia="en-US" w:bidi="en-US"/>
      </w:rPr>
    </w:lvl>
    <w:lvl w:ilvl="2" w:tplc="8A6A92EE">
      <w:numFmt w:val="bullet"/>
      <w:lvlText w:val="•"/>
      <w:lvlJc w:val="left"/>
      <w:pPr>
        <w:ind w:left="1884" w:hanging="175"/>
      </w:pPr>
      <w:rPr>
        <w:rFonts w:hint="default"/>
        <w:lang w:val="en-US" w:eastAsia="en-US" w:bidi="en-US"/>
      </w:rPr>
    </w:lvl>
    <w:lvl w:ilvl="3" w:tplc="2DD6B1E8">
      <w:numFmt w:val="bullet"/>
      <w:lvlText w:val="•"/>
      <w:lvlJc w:val="left"/>
      <w:pPr>
        <w:ind w:left="2656" w:hanging="175"/>
      </w:pPr>
      <w:rPr>
        <w:rFonts w:hint="default"/>
        <w:lang w:val="en-US" w:eastAsia="en-US" w:bidi="en-US"/>
      </w:rPr>
    </w:lvl>
    <w:lvl w:ilvl="4" w:tplc="8564C804">
      <w:numFmt w:val="bullet"/>
      <w:lvlText w:val="•"/>
      <w:lvlJc w:val="left"/>
      <w:pPr>
        <w:ind w:left="3428" w:hanging="175"/>
      </w:pPr>
      <w:rPr>
        <w:rFonts w:hint="default"/>
        <w:lang w:val="en-US" w:eastAsia="en-US" w:bidi="en-US"/>
      </w:rPr>
    </w:lvl>
    <w:lvl w:ilvl="5" w:tplc="FB823724">
      <w:numFmt w:val="bullet"/>
      <w:lvlText w:val="•"/>
      <w:lvlJc w:val="left"/>
      <w:pPr>
        <w:ind w:left="4200" w:hanging="175"/>
      </w:pPr>
      <w:rPr>
        <w:rFonts w:hint="default"/>
        <w:lang w:val="en-US" w:eastAsia="en-US" w:bidi="en-US"/>
      </w:rPr>
    </w:lvl>
    <w:lvl w:ilvl="6" w:tplc="A75E2E38">
      <w:numFmt w:val="bullet"/>
      <w:lvlText w:val="•"/>
      <w:lvlJc w:val="left"/>
      <w:pPr>
        <w:ind w:left="4972" w:hanging="175"/>
      </w:pPr>
      <w:rPr>
        <w:rFonts w:hint="default"/>
        <w:lang w:val="en-US" w:eastAsia="en-US" w:bidi="en-US"/>
      </w:rPr>
    </w:lvl>
    <w:lvl w:ilvl="7" w:tplc="71F06AB8">
      <w:numFmt w:val="bullet"/>
      <w:lvlText w:val="•"/>
      <w:lvlJc w:val="left"/>
      <w:pPr>
        <w:ind w:left="5744" w:hanging="175"/>
      </w:pPr>
      <w:rPr>
        <w:rFonts w:hint="default"/>
        <w:lang w:val="en-US" w:eastAsia="en-US" w:bidi="en-US"/>
      </w:rPr>
    </w:lvl>
    <w:lvl w:ilvl="8" w:tplc="A5948EB6">
      <w:numFmt w:val="bullet"/>
      <w:lvlText w:val="•"/>
      <w:lvlJc w:val="left"/>
      <w:pPr>
        <w:ind w:left="6516" w:hanging="175"/>
      </w:pPr>
      <w:rPr>
        <w:rFonts w:hint="default"/>
        <w:lang w:val="en-US" w:eastAsia="en-US" w:bidi="en-US"/>
      </w:rPr>
    </w:lvl>
  </w:abstractNum>
  <w:abstractNum w:abstractNumId="10" w15:restartNumberingAfterBreak="0">
    <w:nsid w:val="574B30F6"/>
    <w:multiLevelType w:val="hybridMultilevel"/>
    <w:tmpl w:val="0EA06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895275"/>
    <w:multiLevelType w:val="hybridMultilevel"/>
    <w:tmpl w:val="255EF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4C0538"/>
    <w:multiLevelType w:val="multilevel"/>
    <w:tmpl w:val="450EC0B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numFmt w:val="bullet"/>
      <w:lvlText w:val="•"/>
      <w:lvlJc w:val="left"/>
      <w:pPr>
        <w:ind w:left="1224" w:hanging="504"/>
      </w:pPr>
      <w:rPr>
        <w:rFonts w:ascii="Arial" w:eastAsia="Arial" w:hAnsi="Arial" w:cs="Arial" w:hint="default"/>
        <w:color w:val="353535"/>
        <w:w w:val="104"/>
        <w:sz w:val="18"/>
        <w:szCs w:val="18"/>
        <w:lang w:val="en-US" w:eastAsia="en-US" w:bidi="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3140E0"/>
    <w:multiLevelType w:val="multilevel"/>
    <w:tmpl w:val="1A86F55E"/>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28"/>
      </w:pPr>
      <w:rPr>
        <w:rFonts w:hint="default"/>
        <w:lang w:val="en-US" w:eastAsia="en-US" w:bidi="en-US"/>
      </w:rPr>
    </w:lvl>
    <w:lvl w:ilvl="4">
      <w:numFmt w:val="bullet"/>
      <w:lvlText w:val="•"/>
      <w:lvlJc w:val="left"/>
      <w:pPr>
        <w:ind w:left="4373" w:hanging="228"/>
      </w:pPr>
      <w:rPr>
        <w:rFonts w:hint="default"/>
        <w:lang w:val="en-US" w:eastAsia="en-US" w:bidi="en-US"/>
      </w:rPr>
    </w:lvl>
    <w:lvl w:ilvl="5">
      <w:numFmt w:val="bullet"/>
      <w:lvlText w:val="•"/>
      <w:lvlJc w:val="left"/>
      <w:pPr>
        <w:ind w:left="5431" w:hanging="228"/>
      </w:pPr>
      <w:rPr>
        <w:rFonts w:hint="default"/>
        <w:lang w:val="en-US" w:eastAsia="en-US" w:bidi="en-US"/>
      </w:rPr>
    </w:lvl>
    <w:lvl w:ilvl="6">
      <w:numFmt w:val="bullet"/>
      <w:lvlText w:val="•"/>
      <w:lvlJc w:val="left"/>
      <w:pPr>
        <w:ind w:left="6488" w:hanging="228"/>
      </w:pPr>
      <w:rPr>
        <w:rFonts w:hint="default"/>
        <w:lang w:val="en-US" w:eastAsia="en-US" w:bidi="en-US"/>
      </w:rPr>
    </w:lvl>
    <w:lvl w:ilvl="7">
      <w:numFmt w:val="bullet"/>
      <w:lvlText w:val="•"/>
      <w:lvlJc w:val="left"/>
      <w:pPr>
        <w:ind w:left="7546" w:hanging="228"/>
      </w:pPr>
      <w:rPr>
        <w:rFonts w:hint="default"/>
        <w:lang w:val="en-US" w:eastAsia="en-US" w:bidi="en-US"/>
      </w:rPr>
    </w:lvl>
    <w:lvl w:ilvl="8">
      <w:numFmt w:val="bullet"/>
      <w:lvlText w:val="•"/>
      <w:lvlJc w:val="left"/>
      <w:pPr>
        <w:ind w:left="8604" w:hanging="228"/>
      </w:pPr>
      <w:rPr>
        <w:rFonts w:hint="default"/>
        <w:lang w:val="en-US" w:eastAsia="en-US" w:bidi="en-US"/>
      </w:rPr>
    </w:lvl>
  </w:abstractNum>
  <w:abstractNum w:abstractNumId="14" w15:restartNumberingAfterBreak="0">
    <w:nsid w:val="7D514D47"/>
    <w:multiLevelType w:val="hybridMultilevel"/>
    <w:tmpl w:val="ABC0922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702899585">
    <w:abstractNumId w:val="9"/>
  </w:num>
  <w:num w:numId="2" w16cid:durableId="815806488">
    <w:abstractNumId w:val="3"/>
  </w:num>
  <w:num w:numId="3" w16cid:durableId="511186267">
    <w:abstractNumId w:val="7"/>
  </w:num>
  <w:num w:numId="4" w16cid:durableId="1113741731">
    <w:abstractNumId w:val="4"/>
  </w:num>
  <w:num w:numId="5" w16cid:durableId="1616402623">
    <w:abstractNumId w:val="14"/>
  </w:num>
  <w:num w:numId="6" w16cid:durableId="1156140827">
    <w:abstractNumId w:val="8"/>
  </w:num>
  <w:num w:numId="7" w16cid:durableId="2044480727">
    <w:abstractNumId w:val="10"/>
  </w:num>
  <w:num w:numId="8" w16cid:durableId="1478062068">
    <w:abstractNumId w:val="6"/>
  </w:num>
  <w:num w:numId="9" w16cid:durableId="706108103">
    <w:abstractNumId w:val="11"/>
  </w:num>
  <w:num w:numId="10" w16cid:durableId="666325272">
    <w:abstractNumId w:val="1"/>
  </w:num>
  <w:num w:numId="11" w16cid:durableId="2137792353">
    <w:abstractNumId w:val="5"/>
  </w:num>
  <w:num w:numId="12" w16cid:durableId="527960283">
    <w:abstractNumId w:val="13"/>
  </w:num>
  <w:num w:numId="13" w16cid:durableId="1288512883">
    <w:abstractNumId w:val="0"/>
  </w:num>
  <w:num w:numId="14" w16cid:durableId="1105152065">
    <w:abstractNumId w:val="2"/>
  </w:num>
  <w:num w:numId="15" w16cid:durableId="633293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52"/>
    <w:rsid w:val="00005D5C"/>
    <w:rsid w:val="00025009"/>
    <w:rsid w:val="00060B05"/>
    <w:rsid w:val="00123341"/>
    <w:rsid w:val="00157A0C"/>
    <w:rsid w:val="00171A87"/>
    <w:rsid w:val="001C626D"/>
    <w:rsid w:val="002363ED"/>
    <w:rsid w:val="00291876"/>
    <w:rsid w:val="002B0D77"/>
    <w:rsid w:val="002C15C8"/>
    <w:rsid w:val="00367B02"/>
    <w:rsid w:val="00381B75"/>
    <w:rsid w:val="003C3FD0"/>
    <w:rsid w:val="004B6D2C"/>
    <w:rsid w:val="004D40A3"/>
    <w:rsid w:val="00565EA7"/>
    <w:rsid w:val="00595044"/>
    <w:rsid w:val="005C7CD9"/>
    <w:rsid w:val="00637BAE"/>
    <w:rsid w:val="006634B2"/>
    <w:rsid w:val="0066524B"/>
    <w:rsid w:val="006B3E82"/>
    <w:rsid w:val="006B68BE"/>
    <w:rsid w:val="006F4BC3"/>
    <w:rsid w:val="00761911"/>
    <w:rsid w:val="007C6EB1"/>
    <w:rsid w:val="00843CDE"/>
    <w:rsid w:val="0086547F"/>
    <w:rsid w:val="008F39CC"/>
    <w:rsid w:val="00A30E6D"/>
    <w:rsid w:val="00A8294C"/>
    <w:rsid w:val="00A92FC2"/>
    <w:rsid w:val="00B00040"/>
    <w:rsid w:val="00B40B0D"/>
    <w:rsid w:val="00B4606C"/>
    <w:rsid w:val="00B50D1B"/>
    <w:rsid w:val="00BC20D7"/>
    <w:rsid w:val="00C86FEA"/>
    <w:rsid w:val="00CC1AC4"/>
    <w:rsid w:val="00CE17DD"/>
    <w:rsid w:val="00D52EC2"/>
    <w:rsid w:val="00D744F6"/>
    <w:rsid w:val="00DE148D"/>
    <w:rsid w:val="00E27827"/>
    <w:rsid w:val="00E36B48"/>
    <w:rsid w:val="00FA0CA2"/>
    <w:rsid w:val="00FE174D"/>
    <w:rsid w:val="00FE1915"/>
    <w:rsid w:val="00FE3492"/>
    <w:rsid w:val="00FF635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5660C0"/>
  <w14:defaultImageDpi w14:val="300"/>
  <w15:docId w15:val="{8C291627-0A86-D540-AFCB-9C84432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D2"/>
    <w:pPr>
      <w:spacing w:after="200"/>
    </w:pPr>
    <w:rPr>
      <w:sz w:val="24"/>
    </w:rPr>
  </w:style>
  <w:style w:type="paragraph" w:styleId="Heading1">
    <w:name w:val="heading 1"/>
    <w:basedOn w:val="Normal"/>
    <w:link w:val="Heading1Char"/>
    <w:uiPriority w:val="9"/>
    <w:qFormat/>
    <w:rsid w:val="00FA0CA2"/>
    <w:pPr>
      <w:widowControl w:val="0"/>
      <w:autoSpaceDE w:val="0"/>
      <w:autoSpaceDN w:val="0"/>
      <w:spacing w:before="2" w:after="0"/>
      <w:ind w:left="1178" w:hanging="322"/>
      <w:outlineLvl w:val="0"/>
    </w:pPr>
    <w:rPr>
      <w:rFonts w:ascii="Arial" w:eastAsia="Arial" w:hAnsi="Arial" w:cs="Arial"/>
      <w:b/>
      <w:b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352"/>
    <w:pPr>
      <w:tabs>
        <w:tab w:val="center" w:pos="4320"/>
        <w:tab w:val="right" w:pos="8640"/>
      </w:tabs>
      <w:spacing w:after="0"/>
    </w:pPr>
  </w:style>
  <w:style w:type="character" w:customStyle="1" w:styleId="HeaderChar">
    <w:name w:val="Header Char"/>
    <w:link w:val="Header"/>
    <w:uiPriority w:val="99"/>
    <w:rsid w:val="00FF6352"/>
    <w:rPr>
      <w:sz w:val="24"/>
    </w:rPr>
  </w:style>
  <w:style w:type="paragraph" w:styleId="Footer">
    <w:name w:val="footer"/>
    <w:basedOn w:val="Normal"/>
    <w:link w:val="FooterChar"/>
    <w:uiPriority w:val="99"/>
    <w:unhideWhenUsed/>
    <w:rsid w:val="00FF6352"/>
    <w:pPr>
      <w:tabs>
        <w:tab w:val="center" w:pos="4320"/>
        <w:tab w:val="right" w:pos="8640"/>
      </w:tabs>
      <w:spacing w:after="0"/>
    </w:pPr>
  </w:style>
  <w:style w:type="character" w:customStyle="1" w:styleId="FooterChar">
    <w:name w:val="Footer Char"/>
    <w:link w:val="Footer"/>
    <w:uiPriority w:val="99"/>
    <w:rsid w:val="00FF6352"/>
    <w:rPr>
      <w:sz w:val="24"/>
    </w:rPr>
  </w:style>
  <w:style w:type="paragraph" w:styleId="BalloonText">
    <w:name w:val="Balloon Text"/>
    <w:basedOn w:val="Normal"/>
    <w:link w:val="BalloonTextChar"/>
    <w:rsid w:val="002363ED"/>
    <w:pPr>
      <w:spacing w:after="0"/>
    </w:pPr>
    <w:rPr>
      <w:rFonts w:ascii="Lucida Grande" w:hAnsi="Lucida Grande"/>
      <w:sz w:val="18"/>
      <w:szCs w:val="18"/>
    </w:rPr>
  </w:style>
  <w:style w:type="character" w:customStyle="1" w:styleId="BalloonTextChar">
    <w:name w:val="Balloon Text Char"/>
    <w:basedOn w:val="DefaultParagraphFont"/>
    <w:link w:val="BalloonText"/>
    <w:rsid w:val="002363ED"/>
    <w:rPr>
      <w:rFonts w:ascii="Lucida Grande" w:hAnsi="Lucida Grande"/>
      <w:sz w:val="18"/>
      <w:szCs w:val="18"/>
    </w:rPr>
  </w:style>
  <w:style w:type="table" w:styleId="TableGrid">
    <w:name w:val="Table Grid"/>
    <w:basedOn w:val="TableNormal"/>
    <w:uiPriority w:val="59"/>
    <w:rsid w:val="00565E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5EA7"/>
    <w:pPr>
      <w:widowControl w:val="0"/>
      <w:autoSpaceDE w:val="0"/>
      <w:autoSpaceDN w:val="0"/>
      <w:spacing w:after="0"/>
    </w:pPr>
    <w:rPr>
      <w:rFonts w:ascii="Arial" w:eastAsia="Arial" w:hAnsi="Arial" w:cs="Arial"/>
      <w:sz w:val="22"/>
      <w:szCs w:val="22"/>
      <w:lang w:bidi="en-US"/>
    </w:rPr>
  </w:style>
  <w:style w:type="character" w:styleId="Hyperlink">
    <w:name w:val="Hyperlink"/>
    <w:basedOn w:val="DefaultParagraphFont"/>
    <w:uiPriority w:val="99"/>
    <w:unhideWhenUsed/>
    <w:rsid w:val="00565EA7"/>
    <w:rPr>
      <w:color w:val="0000FF" w:themeColor="hyperlink"/>
      <w:u w:val="single"/>
    </w:rPr>
  </w:style>
  <w:style w:type="paragraph" w:styleId="ListParagraph">
    <w:name w:val="List Paragraph"/>
    <w:basedOn w:val="Normal"/>
    <w:uiPriority w:val="1"/>
    <w:qFormat/>
    <w:rsid w:val="00565EA7"/>
    <w:pPr>
      <w:ind w:left="720"/>
      <w:contextualSpacing/>
    </w:pPr>
  </w:style>
  <w:style w:type="paragraph" w:styleId="CommentText">
    <w:name w:val="annotation text"/>
    <w:basedOn w:val="Normal"/>
    <w:link w:val="CommentTextChar"/>
    <w:semiHidden/>
    <w:unhideWhenUsed/>
    <w:rsid w:val="00843CDE"/>
    <w:rPr>
      <w:sz w:val="20"/>
    </w:rPr>
  </w:style>
  <w:style w:type="character" w:customStyle="1" w:styleId="CommentTextChar">
    <w:name w:val="Comment Text Char"/>
    <w:basedOn w:val="DefaultParagraphFont"/>
    <w:link w:val="CommentText"/>
    <w:semiHidden/>
    <w:rsid w:val="00843CDE"/>
  </w:style>
  <w:style w:type="paragraph" w:styleId="CommentSubject">
    <w:name w:val="annotation subject"/>
    <w:basedOn w:val="CommentText"/>
    <w:next w:val="CommentText"/>
    <w:link w:val="CommentSubjectChar"/>
    <w:uiPriority w:val="99"/>
    <w:semiHidden/>
    <w:unhideWhenUsed/>
    <w:rsid w:val="00843CDE"/>
    <w:pPr>
      <w:widowControl w:val="0"/>
      <w:autoSpaceDE w:val="0"/>
      <w:autoSpaceDN w:val="0"/>
      <w:spacing w:after="0"/>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843CDE"/>
    <w:rPr>
      <w:rFonts w:ascii="Arial" w:eastAsia="Arial" w:hAnsi="Arial" w:cs="Arial"/>
      <w:b/>
      <w:bCs/>
      <w:lang w:bidi="en-US"/>
    </w:rPr>
  </w:style>
  <w:style w:type="character" w:customStyle="1" w:styleId="Heading1Char">
    <w:name w:val="Heading 1 Char"/>
    <w:basedOn w:val="DefaultParagraphFont"/>
    <w:link w:val="Heading1"/>
    <w:uiPriority w:val="9"/>
    <w:rsid w:val="00FA0CA2"/>
    <w:rPr>
      <w:rFonts w:ascii="Arial" w:eastAsia="Arial" w:hAnsi="Arial" w:cs="Arial"/>
      <w:b/>
      <w:bCs/>
      <w:sz w:val="18"/>
      <w:szCs w:val="18"/>
      <w:lang w:bidi="en-US"/>
    </w:rPr>
  </w:style>
  <w:style w:type="paragraph" w:styleId="BodyText">
    <w:name w:val="Body Text"/>
    <w:basedOn w:val="Normal"/>
    <w:link w:val="BodyTextChar"/>
    <w:uiPriority w:val="1"/>
    <w:qFormat/>
    <w:rsid w:val="00FA0CA2"/>
    <w:pPr>
      <w:widowControl w:val="0"/>
      <w:autoSpaceDE w:val="0"/>
      <w:autoSpaceDN w:val="0"/>
      <w:spacing w:before="101" w:after="0"/>
      <w:ind w:left="1191"/>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FA0CA2"/>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206360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us.org.uk/respect/patients-and-carers/" TargetMode="External"/><Relationship Id="rId13" Type="http://schemas.openxmlformats.org/officeDocument/2006/relationships/hyperlink" Target="https://www.ageuk.org.uk/globalassets/age-uk/documents/factsheets/fs72_advance_decisions_advance_statements_and_living_wills_fcs.pdf?dtrk=true" TargetMode="External"/><Relationship Id="rId18" Type="http://schemas.openxmlformats.org/officeDocument/2006/relationships/hyperlink" Target="https://compassionindying.org.uk/making-decisions-and-planning-your-ca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s.uk/conditions/end-of-life-care/advance-statement/"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435512/MHA_Code_of_Practice.PDF" TargetMode="External"/><Relationship Id="rId17" Type="http://schemas.openxmlformats.org/officeDocument/2006/relationships/hyperlink" Target="https://www.alzheimers.org.uk/get-support/legal-financial/what-is-advance-stateme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lzheimers.org.uk/get-support/legal-financial/what-is-advance-statement" TargetMode="External"/><Relationship Id="rId20" Type="http://schemas.openxmlformats.org/officeDocument/2006/relationships/hyperlink" Target="https://www.macmillan.org.uk/cancer-information-and-support/treatment/if-you-have-an-advanced-cancer/advance-care-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5/9/pdfs/ukpgacop_20050009_en.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geuk.org.uk/globalassets/age-uk/documents/factsheets/fs72_advance_decisions_advance_statements_and_living_wills_fcs.pdf?dtrk=true" TargetMode="External"/><Relationship Id="rId23" Type="http://schemas.openxmlformats.org/officeDocument/2006/relationships/footer" Target="footer1.xml"/><Relationship Id="rId10" Type="http://schemas.openxmlformats.org/officeDocument/2006/relationships/hyperlink" Target="https://www.england.nhs.uk/improvement-hub/wp-content/uploads/sites/44/2017/11/Advance-Decisions-to-Refuse-Treatment-Guide.pdf" TargetMode="External"/><Relationship Id="rId19" Type="http://schemas.openxmlformats.org/officeDocument/2006/relationships/hyperlink" Target="https://www.macmillan.org.uk/cancer-information-and-support/treatment/if-you-have-an-advanced-cancer/advance-care-planning" TargetMode="External"/><Relationship Id="rId4" Type="http://schemas.openxmlformats.org/officeDocument/2006/relationships/settings" Target="settings.xml"/><Relationship Id="rId9" Type="http://schemas.openxmlformats.org/officeDocument/2006/relationships/hyperlink" Target="https://www.england.nhs.uk/improvement-hub/wp-content/uploads/sites/44/2017/11/Advance-Decisions-to-Refuse-Treatment-Guide.pdf" TargetMode="External"/><Relationship Id="rId14" Type="http://schemas.openxmlformats.org/officeDocument/2006/relationships/hyperlink" Target="https://www.ageuk.org.uk/globalassets/age-uk/documents/factsheets/fs72_advance_decisions_advance_statements_and_living_wills_fcs.pdf?dtrk=tru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E677-60EF-4217-AC0D-BA3EFFF9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1794</Words>
  <Characters>11726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Links>
    <vt:vector size="12" baseType="variant">
      <vt:variant>
        <vt:i4>4980763</vt:i4>
      </vt:variant>
      <vt:variant>
        <vt:i4>3598</vt:i4>
      </vt:variant>
      <vt:variant>
        <vt:i4>1025</vt:i4>
      </vt:variant>
      <vt:variant>
        <vt:i4>1</vt:i4>
      </vt:variant>
      <vt:variant>
        <vt:lpwstr>Medibooks-Footer</vt:lpwstr>
      </vt:variant>
      <vt:variant>
        <vt:lpwstr/>
      </vt:variant>
      <vt:variant>
        <vt:i4>4849779</vt:i4>
      </vt:variant>
      <vt:variant>
        <vt:i4>3601</vt:i4>
      </vt:variant>
      <vt:variant>
        <vt:i4>1026</vt:i4>
      </vt:variant>
      <vt:variant>
        <vt:i4>1</vt:i4>
      </vt:variant>
      <vt:variant>
        <vt:lpwstr>Medibooks-top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Slattery</dc:creator>
  <cp:keywords/>
  <cp:lastModifiedBy>Kelly Kennedy</cp:lastModifiedBy>
  <cp:revision>6</cp:revision>
  <cp:lastPrinted>2023-04-21T09:39:00Z</cp:lastPrinted>
  <dcterms:created xsi:type="dcterms:W3CDTF">2023-02-20T12:11:00Z</dcterms:created>
  <dcterms:modified xsi:type="dcterms:W3CDTF">2024-06-24T12:21:00Z</dcterms:modified>
</cp:coreProperties>
</file>